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ectionLabel"/>
        <w:spacing w:before="1680"/>
      </w:pPr>
      <w:r>
        <w:t>BETTER COLLEGE FOOTBALL</w:t>
      </w:r>
    </w:p>
    <w:p>
      <w:pPr>
        <w:pStyle w:val="Title"/>
        <w:spacing w:before="400"/>
      </w:pPr>
      <w:r>
        <w:t>Better College Football Complete Proposal</w:t>
      </w:r>
    </w:p>
    <w:p>
      <w:pPr>
        <w:pStyle w:val="Subtitle"/>
      </w:pPr>
      <w:r>
        <w:t>One integrated framework for the game, the player market, and national governance</w:t>
      </w:r>
    </w:p>
    <w:p>
      <w:pPr>
        <w:pStyle w:val="SectionLabel"/>
      </w:pPr>
      <w:r>
        <w:t>Independent working proposal · Current public record · October 2026</w:t>
      </w:r>
    </w:p>
    <w:tbl>
      <w:tblPr>
        <w:tblW w:type="auto" w:w="0"/>
        <w:jc w:val="left"/>
        <w:tblLayout w:type="fixed"/>
        <w:tblLook w:firstColumn="1" w:firstRow="1" w:lastColumn="0" w:lastRow="0" w:noHBand="0" w:noVBand="1" w:val="04A0"/>
      </w:tblPr>
      <w:tblGrid>
        <w:gridCol w:w="4997"/>
        <w:gridCol w:w="4997"/>
      </w:tblGrid>
      <w:tr>
        <w:tc>
          <w:tcPr>
            <w:tcW w:type="dxa" w:w="1584"/>
            <w:shd w:fill="06263F"/>
            <w:tcBorders>
              <w:bottom w:val="single" w:sz="6" w:color="C7D0D6"/>
            </w:tcBorders>
          </w:tcPr>
          <w:p>
            <w:r>
              <w:rPr>
                <w:b/>
                <w:color w:val="FFFFFF"/>
              </w:rPr>
              <w:t>AUTHOR</w:t>
            </w:r>
          </w:p>
        </w:tc>
        <w:tc>
          <w:tcPr>
            <w:tcW w:type="dxa" w:w="8208"/>
            <w:shd w:fill="EAF2F7"/>
            <w:tcBorders>
              <w:bottom w:val="single" w:sz="6" w:color="C7D0D6"/>
            </w:tcBorders>
          </w:tcPr>
          <w:p>
            <w:r>
              <w:rPr>
                <w:b/>
              </w:rPr>
              <w:t>Alec Levine</w:t>
            </w:r>
          </w:p>
        </w:tc>
      </w:tr>
      <w:tr>
        <w:tc>
          <w:tcPr>
            <w:tcW w:type="dxa" w:w="1584"/>
            <w:shd w:fill="06263F"/>
            <w:tcBorders>
              <w:bottom w:val="single" w:sz="6" w:color="C7D0D6"/>
            </w:tcBorders>
          </w:tcPr>
          <w:p>
            <w:r>
              <w:rPr>
                <w:b/>
                <w:color w:val="FFFFFF"/>
              </w:rPr>
              <w:t>SCOPE</w:t>
            </w:r>
          </w:p>
        </w:tc>
        <w:tc>
          <w:tcPr>
            <w:tcW w:type="dxa" w:w="8208"/>
            <w:shd w:fill="FFFFFF"/>
            <w:tcBorders>
              <w:bottom w:val="single" w:sz="6" w:color="C7D0D6"/>
            </w:tcBorders>
          </w:tcPr>
          <w:p>
            <w:r>
              <w:rPr>
                <w:b/>
              </w:rPr>
              <w:t>17 connected chapters</w:t>
            </w:r>
          </w:p>
        </w:tc>
      </w:tr>
      <w:tr>
        <w:tc>
          <w:tcPr>
            <w:tcW w:type="dxa" w:w="1584"/>
            <w:shd w:fill="06263F"/>
            <w:tcBorders>
              <w:bottom w:val="single" w:sz="6" w:color="C7D0D6"/>
            </w:tcBorders>
          </w:tcPr>
          <w:p>
            <w:r>
              <w:rPr>
                <w:b/>
                <w:color w:val="FFFFFF"/>
              </w:rPr>
              <w:t>STATUS</w:t>
            </w:r>
          </w:p>
        </w:tc>
        <w:tc>
          <w:tcPr>
            <w:tcW w:type="dxa" w:w="8208"/>
            <w:shd w:fill="EAF2F7"/>
            <w:tcBorders>
              <w:bottom w:val="single" w:sz="6" w:color="C7D0D6"/>
            </w:tcBorders>
          </w:tcPr>
          <w:p>
            <w:r>
              <w:rPr>
                <w:b/>
              </w:rPr>
              <w:t>Proposed, not adopted</w:t>
            </w:r>
          </w:p>
        </w:tc>
      </w:tr>
    </w:tbl>
    <w:p>
      <w:pPr>
        <w:pStyle w:val="DocumentLink"/>
        <w:spacing w:before="1440"/>
      </w:pPr>
      <w:r>
        <w:rPr>
          <w:b/>
        </w:rPr>
        <w:t>Current online proposal</w:t>
        <w:br/>
      </w:r>
      <w:r>
        <w:t>https://bettercollegefootball.com/proposal/full</w:t>
      </w:r>
    </w:p>
    <w:p>
      <w:pPr>
        <w:pStyle w:val="SmallNote"/>
        <w:spacing w:before="180"/>
      </w:pPr>
      <w:r>
        <w:t>The website and this document are generated from the same public chapter record. Supporting audits and sources are available at bettercollegefootball.com/evidence.</w:t>
      </w:r>
      <w:r>
        <w:br w:type="page"/>
      </w:r>
    </w:p>
    <w:p>
      <w:pPr>
        <w:pStyle w:val="Heading1"/>
      </w:pPr>
      <w:r>
        <w:t>Executive summary</w:t>
      </w:r>
    </w:p>
    <w:p>
      <w:r>
        <w:t>College football needs one coherent operating system. The central recommendation is not playoff expansion by itself. It is an integrated framework in which regular-season achievement earns a visibly better path, conference championships create more upside than downside, roster markets wait until championship football ends, athlete rights travel nationally, and national authority is limited to rules the sport genuinely must share.</w:t>
      </w:r>
    </w:p>
    <w:p>
      <w:r>
        <w:t>The proposal keeps one FBS ecosystem. Every eligible program retains a CFP path. The 18-team playoff uses two layers of byes, campus games, and two reseeds to keep higher finishes valuable. A separate 16-team National Tournament gives eligible non-Power Four teams outside the CFP another national objective without creating a lower division.</w:t>
      </w:r>
    </w:p>
    <w:p>
      <w:r>
        <w:t>This document is specific about the recommended structure and direct about what still requires independent legal, athlete, medical, financial, operational, and stakeholder proof. No proposed restriction becomes binding merely because it appears here.</w:t>
      </w:r>
    </w:p>
    <w:p>
      <w:pPr>
        <w:pStyle w:val="Heading2"/>
      </w:pPr>
      <w:r>
        <w:t>The integrated recommendation</w:t>
      </w:r>
    </w:p>
    <w:p>
      <w:pPr>
        <w:pStyle w:val="ListBullet"/>
        <w:keepLines/>
      </w:pPr>
      <w:r>
        <w:t>Reward the full season: scheduling standards, transparent résumé rankings, conference-title credit, and postseason paths work as one competition system.</w:t>
      </w:r>
    </w:p>
    <w:p>
      <w:pPr>
        <w:pStyle w:val="ListBullet"/>
        <w:keepLines/>
      </w:pPr>
      <w:r>
        <w:t>Make finishing position matter: the 18-team CFP gives the strongest résumés better paths through two bye levels, campus games, and two published reseeds.</w:t>
      </w:r>
    </w:p>
    <w:p>
      <w:pPr>
        <w:pStyle w:val="ListBullet"/>
        <w:keepLines/>
      </w:pPr>
      <w:r>
        <w:t>Preserve broad FBS opportunity: every eligible program keeps a CFP route, while a separate National Tournament creates a meaningful postseason objective outside the CFP.</w:t>
      </w:r>
    </w:p>
    <w:p>
      <w:pPr>
        <w:pStyle w:val="ListBullet"/>
        <w:keepLines/>
      </w:pPr>
      <w:r>
        <w:t>Protect championship football: the national calendar separates postseason competition from transfer activity and establishes shared recovery, academic, and travel protections.</w:t>
      </w:r>
    </w:p>
    <w:p>
      <w:pPr>
        <w:pStyle w:val="ListBullet"/>
        <w:keepLines/>
      </w:pPr>
      <w:r>
        <w:t>Create a portable national rights floor: athlete protections, agreement standards, market disclosures, professional exploration, and due process do not disappear at a conference boundary.</w:t>
      </w:r>
    </w:p>
    <w:p>
      <w:pPr>
        <w:pStyle w:val="ListBullet"/>
        <w:keepLines/>
      </w:pPr>
      <w:r>
        <w:t>Launch only through proof: lawful authority, athlete representation, financial capacity, welfare review, operating tests, and public transition rules are conditions of adoption.</w:t>
      </w:r>
    </w:p>
    <w:p>
      <w:pPr>
        <w:pStyle w:val="Heading2"/>
      </w:pPr>
      <w:r>
        <w:t>How the three systems connect</w:t>
      </w:r>
    </w:p>
    <w:p>
      <w:r>
        <w:t>The Game establishes the competitive structure: scheduling, rankings, conference championships, the CFP, bowls, the National Tournament, and the national calendar. Each rule is judged by whether winning the next game produces a visible and proportionate benefit.</w:t>
      </w:r>
    </w:p>
    <w:p>
      <w:r>
        <w:t>The Market establishes the terms under which athletes and schools make commitments, transfer, arrange compensation, work with agents, and explore professional opportunities. Those rules must fit the competition calendar and rest on negotiated or otherwise lawful authority.</w:t>
      </w:r>
    </w:p>
    <w:p>
      <w:r>
        <w:t>The Government assigns the limited national responsibilities that cannot be left fragmented: common standards, administration, investigation, independent adjudication, appeals, funding, audit, and transition. It does not convert every local choice into a national one.</w:t>
      </w:r>
    </w:p>
    <w:p>
      <w:pPr>
        <w:pStyle w:val="Heading2"/>
      </w:pPr>
      <w:r>
        <w:t>What this document does—and does not—claim</w:t>
      </w:r>
    </w:p>
    <w:p>
      <w:r>
        <w:t>It states a complete policy recommendation and a working operating specification. It does not claim that the proposal is current law, that the required authority already exists, that affected athletes or institutions have consented, or that financial and operational feasibility has been proved. Chapter 17 makes those limits part of the proposal rather than an afterthought.</w:t>
      </w:r>
    </w:p>
    <w:p>
      <w:pPr>
        <w:pStyle w:val="Heading1"/>
      </w:pPr>
      <w:r>
        <w:t>How to read the record</w:t>
      </w:r>
    </w:p>
    <w:tbl>
      <w:tblPr>
        <w:tblW w:type="auto" w:w="0"/>
        <w:jc w:val="center"/>
        <w:tblLayout w:type="fixed"/>
        <w:tblLook w:firstColumn="1" w:firstRow="1" w:lastColumn="0" w:lastRow="0" w:noHBand="0" w:noVBand="1" w:val="04A0"/>
      </w:tblPr>
      <w:tblGrid>
        <w:gridCol w:w="2376"/>
        <w:gridCol w:w="7416"/>
      </w:tblGrid>
      <w:tr>
        <w:tc>
          <w:tcPr>
            <w:tcW w:type="dxa" w:w="2376"/>
            <w:shd w:fill="06263F"/>
            <w:tcBorders>
              <w:bottom w:val="single" w:sz="6" w:color="C7D0D6"/>
            </w:tcBorders>
          </w:tcPr>
          <w:p>
            <w:r>
              <w:rPr>
                <w:b/>
                <w:color w:val="FFFFFF"/>
              </w:rPr>
              <w:t>Proposal decision</w:t>
            </w:r>
          </w:p>
        </w:tc>
        <w:tc>
          <w:tcPr>
            <w:tcW w:type="dxa" w:w="7416"/>
            <w:shd w:fill="EAF2F7"/>
            <w:tcBorders>
              <w:bottom w:val="single" w:sz="6" w:color="C7D0D6"/>
            </w:tcBorders>
          </w:tcPr>
          <w:p>
            <w:r>
              <w:t>Alec Levine’s current recommendation and the choice the proposal asks the sport to debate and test.</w:t>
            </w:r>
          </w:p>
        </w:tc>
      </w:tr>
      <w:tr>
        <w:tc>
          <w:tcPr>
            <w:tcW w:type="dxa" w:w="2376"/>
            <w:shd w:fill="06263F"/>
            <w:tcBorders>
              <w:bottom w:val="single" w:sz="6" w:color="C7D0D6"/>
            </w:tcBorders>
          </w:tcPr>
          <w:p>
            <w:r>
              <w:rPr>
                <w:b/>
                <w:color w:val="FFFFFF"/>
              </w:rPr>
              <w:t>Operating specification</w:t>
            </w:r>
          </w:p>
        </w:tc>
        <w:tc>
          <w:tcPr>
            <w:tcW w:type="dxa" w:w="7416"/>
            <w:shd w:fill="FFFFFF"/>
            <w:tcBorders>
              <w:bottom w:val="single" w:sz="6" w:color="C7D0D6"/>
            </w:tcBorders>
          </w:tcPr>
          <w:p>
            <w:r>
              <w:t>The best current mechanism for carrying out a decision; evidence or negotiation may improve it without abandoning the objective.</w:t>
            </w:r>
          </w:p>
        </w:tc>
      </w:tr>
      <w:tr>
        <w:tc>
          <w:tcPr>
            <w:tcW w:type="dxa" w:w="2376"/>
            <w:shd w:fill="06263F"/>
            <w:tcBorders>
              <w:bottom w:val="single" w:sz="6" w:color="C7D0D6"/>
            </w:tcBorders>
          </w:tcPr>
          <w:p>
            <w:r>
              <w:rPr>
                <w:b/>
                <w:color w:val="FFFFFF"/>
              </w:rPr>
              <w:t>Reserved question</w:t>
            </w:r>
          </w:p>
        </w:tc>
        <w:tc>
          <w:tcPr>
            <w:tcW w:type="dxa" w:w="7416"/>
            <w:shd w:fill="EAF2F7"/>
            <w:tcBorders>
              <w:bottom w:val="single" w:sz="6" w:color="C7D0D6"/>
            </w:tcBorders>
          </w:tcPr>
          <w:p>
            <w:r>
              <w:t>A point deliberately left open because legal, athlete, financial, medical, or operational evidence must answer it.</w:t>
            </w:r>
          </w:p>
        </w:tc>
      </w:tr>
      <w:tr>
        <w:tc>
          <w:tcPr>
            <w:tcW w:type="dxa" w:w="2376"/>
            <w:shd w:fill="06263F"/>
            <w:tcBorders>
              <w:bottom w:val="single" w:sz="6" w:color="C7D0D6"/>
            </w:tcBorders>
          </w:tcPr>
          <w:p>
            <w:r>
              <w:rPr>
                <w:b/>
                <w:color w:val="FFFFFF"/>
              </w:rPr>
              <w:t>Adoption gate</w:t>
            </w:r>
          </w:p>
        </w:tc>
        <w:tc>
          <w:tcPr>
            <w:tcW w:type="dxa" w:w="7416"/>
            <w:shd w:fill="FFFFFF"/>
            <w:tcBorders>
              <w:bottom w:val="single" w:sz="6" w:color="C7D0D6"/>
            </w:tcBorders>
          </w:tcPr>
          <w:p>
            <w:r>
              <w:t>A condition that must be satisfied before a rule can bind athletes, schools, conferences, or postseason operators.</w:t>
            </w:r>
          </w:p>
        </w:tc>
      </w:tr>
    </w:tbl>
    <w:p>
      <w:pPr>
        <w:pStyle w:val="Heading2"/>
      </w:pPr>
      <w:r>
        <w:t>Contents</w:t>
      </w:r>
    </w:p>
    <w:p>
      <w:pPr>
        <w:pStyle w:val="Heading2"/>
      </w:pPr>
      <w:r>
        <w:t>The Game</w:t>
      </w:r>
    </w:p>
    <w:p>
      <w:pPr>
        <w:pStyle w:val="SmallNote"/>
      </w:pPr>
      <w:r>
        <w:t>Protect the competition, traditions, and incentives people experience on Saturdays.</w:t>
      </w:r>
    </w:p>
    <w:p>
      <w:pPr>
        <w:spacing w:after="60"/>
      </w:pPr>
      <w:r>
        <w:rPr>
          <w:b/>
          <w:color w:val="C8102E"/>
        </w:rPr>
        <w:t xml:space="preserve">01  </w:t>
      </w:r>
      <w:r>
        <w:rPr>
          <w:b/>
        </w:rPr>
        <w:t>Design Principles</w:t>
      </w:r>
    </w:p>
    <w:p>
      <w:pPr>
        <w:spacing w:after="60"/>
      </w:pPr>
      <w:r>
        <w:rPr>
          <w:b/>
          <w:color w:val="C8102E"/>
        </w:rPr>
        <w:t xml:space="preserve">02  </w:t>
      </w:r>
      <w:r>
        <w:rPr>
          <w:b/>
        </w:rPr>
        <w:t>Scheduling and Conference Architecture</w:t>
      </w:r>
    </w:p>
    <w:p>
      <w:pPr>
        <w:spacing w:after="60"/>
      </w:pPr>
      <w:r>
        <w:rPr>
          <w:b/>
          <w:color w:val="C8102E"/>
        </w:rPr>
        <w:t xml:space="preserve">03  </w:t>
      </w:r>
      <w:r>
        <w:rPr>
          <w:b/>
        </w:rPr>
        <w:t>Transparent Rankings and Résumé Evaluation</w:t>
      </w:r>
    </w:p>
    <w:p>
      <w:pPr>
        <w:spacing w:after="60"/>
      </w:pPr>
      <w:r>
        <w:rPr>
          <w:b/>
          <w:color w:val="C8102E"/>
        </w:rPr>
        <w:t xml:space="preserve">04  </w:t>
      </w:r>
      <w:r>
        <w:rPr>
          <w:b/>
        </w:rPr>
        <w:t>Conference Championships That Matter</w:t>
      </w:r>
    </w:p>
    <w:p>
      <w:pPr>
        <w:spacing w:after="60"/>
      </w:pPr>
      <w:r>
        <w:rPr>
          <w:b/>
          <w:color w:val="C8102E"/>
        </w:rPr>
        <w:t xml:space="preserve">05  </w:t>
      </w:r>
      <w:r>
        <w:rPr>
          <w:b/>
        </w:rPr>
        <w:t>The 18-Team College Football Playoff</w:t>
      </w:r>
    </w:p>
    <w:p>
      <w:pPr>
        <w:spacing w:after="60"/>
      </w:pPr>
      <w:r>
        <w:rPr>
          <w:b/>
          <w:color w:val="C8102E"/>
        </w:rPr>
        <w:t xml:space="preserve">06  </w:t>
      </w:r>
      <w:r>
        <w:rPr>
          <w:b/>
        </w:rPr>
        <w:t>The New Year’s Six and a Rebuilt Bowl Ecosystem</w:t>
      </w:r>
    </w:p>
    <w:p>
      <w:pPr>
        <w:spacing w:after="60"/>
      </w:pPr>
      <w:r>
        <w:rPr>
          <w:b/>
          <w:color w:val="C8102E"/>
        </w:rPr>
        <w:t xml:space="preserve">07  </w:t>
      </w:r>
      <w:r>
        <w:rPr>
          <w:b/>
        </w:rPr>
        <w:t>The National Tournament</w:t>
      </w:r>
    </w:p>
    <w:p>
      <w:pPr>
        <w:spacing w:after="60"/>
      </w:pPr>
      <w:r>
        <w:rPr>
          <w:b/>
          <w:color w:val="C8102E"/>
        </w:rPr>
        <w:t xml:space="preserve">08  </w:t>
      </w:r>
      <w:r>
        <w:rPr>
          <w:b/>
        </w:rPr>
        <w:t>A National Calendar That Protects the Season</w:t>
      </w:r>
    </w:p>
    <w:p>
      <w:pPr>
        <w:pStyle w:val="Heading2"/>
      </w:pPr>
      <w:r>
        <w:t>The Market</w:t>
      </w:r>
    </w:p>
    <w:p>
      <w:pPr>
        <w:pStyle w:val="SmallNote"/>
      </w:pPr>
      <w:r>
        <w:t>Protect economic freedom and player mobility while making voluntary commitments real.</w:t>
      </w:r>
    </w:p>
    <w:p>
      <w:pPr>
        <w:spacing w:after="60"/>
      </w:pPr>
      <w:r>
        <w:rPr>
          <w:b/>
          <w:color w:val="C8102E"/>
        </w:rPr>
        <w:t xml:space="preserve">09  </w:t>
      </w:r>
      <w:r>
        <w:rPr>
          <w:b/>
        </w:rPr>
        <w:t>Athlete Rights and Reciprocal Responsibilities</w:t>
      </w:r>
    </w:p>
    <w:p>
      <w:pPr>
        <w:spacing w:after="60"/>
      </w:pPr>
      <w:r>
        <w:rPr>
          <w:b/>
          <w:color w:val="C8102E"/>
        </w:rPr>
        <w:t xml:space="preserve">10  </w:t>
      </w:r>
      <w:r>
        <w:rPr>
          <w:b/>
        </w:rPr>
        <w:t>Player-School Agreements and Roster Security</w:t>
      </w:r>
    </w:p>
    <w:p>
      <w:pPr>
        <w:spacing w:after="60"/>
      </w:pPr>
      <w:r>
        <w:rPr>
          <w:b/>
          <w:color w:val="C8102E"/>
        </w:rPr>
        <w:t xml:space="preserve">11  </w:t>
      </w:r>
      <w:r>
        <w:rPr>
          <w:b/>
        </w:rPr>
        <w:t>Transfers, Recruiting, and Tampering</w:t>
      </w:r>
    </w:p>
    <w:p>
      <w:pPr>
        <w:spacing w:after="60"/>
      </w:pPr>
      <w:r>
        <w:rPr>
          <w:b/>
          <w:color w:val="C8102E"/>
        </w:rPr>
        <w:t xml:space="preserve">12  </w:t>
      </w:r>
      <w:r>
        <w:rPr>
          <w:b/>
        </w:rPr>
        <w:t>Compensation, NIL, Agents, and Collectives</w:t>
      </w:r>
    </w:p>
    <w:p>
      <w:pPr>
        <w:spacing w:after="60"/>
      </w:pPr>
      <w:r>
        <w:rPr>
          <w:b/>
          <w:color w:val="C8102E"/>
        </w:rPr>
        <w:t xml:space="preserve">13  </w:t>
      </w:r>
      <w:r>
        <w:rPr>
          <w:b/>
        </w:rPr>
        <w:t>Eligibility and the College-Professional Boundary</w:t>
      </w:r>
    </w:p>
    <w:p>
      <w:pPr>
        <w:pStyle w:val="Heading2"/>
      </w:pPr>
      <w:r>
        <w:t>The Government</w:t>
      </w:r>
    </w:p>
    <w:p>
      <w:pPr>
        <w:pStyle w:val="SmallNote"/>
      </w:pPr>
      <w:r>
        <w:t>Create legitimate national authority, credible enforcement, due process, and stable rules.</w:t>
      </w:r>
    </w:p>
    <w:p>
      <w:pPr>
        <w:spacing w:after="60"/>
      </w:pPr>
      <w:r>
        <w:rPr>
          <w:b/>
          <w:color w:val="C8102E"/>
        </w:rPr>
        <w:t xml:space="preserve">14  </w:t>
      </w:r>
      <w:r>
        <w:rPr>
          <w:b/>
        </w:rPr>
        <w:t>National Governance and NCAA Authority</w:t>
      </w:r>
    </w:p>
    <w:p>
      <w:pPr>
        <w:spacing w:after="60"/>
      </w:pPr>
      <w:r>
        <w:rPr>
          <w:b/>
          <w:color w:val="C8102E"/>
        </w:rPr>
        <w:t xml:space="preserve">15  </w:t>
      </w:r>
      <w:r>
        <w:rPr>
          <w:b/>
        </w:rPr>
        <w:t>Competitive Integrity and Enforcement</w:t>
      </w:r>
    </w:p>
    <w:p>
      <w:pPr>
        <w:spacing w:after="60"/>
      </w:pPr>
      <w:r>
        <w:rPr>
          <w:b/>
          <w:color w:val="C8102E"/>
        </w:rPr>
        <w:t xml:space="preserve">16  </w:t>
      </w:r>
      <w:r>
        <w:rPr>
          <w:b/>
        </w:rPr>
        <w:t>Due Process, Appeals, and Rule Stability</w:t>
      </w:r>
    </w:p>
    <w:p>
      <w:pPr>
        <w:spacing w:after="60"/>
      </w:pPr>
      <w:r>
        <w:rPr>
          <w:b/>
          <w:color w:val="C8102E"/>
        </w:rPr>
        <w:t xml:space="preserve">17  </w:t>
      </w:r>
      <w:r>
        <w:rPr>
          <w:b/>
        </w:rPr>
        <w:t>Economics, Transition, and Independent Validation</w:t>
      </w:r>
    </w:p>
    <w:p>
      <w:pPr>
        <w:pStyle w:val="Heading1"/>
        <w:pageBreakBefore/>
      </w:pPr>
      <w:r>
        <w:t>01  Design Principles</w:t>
      </w:r>
    </w:p>
    <w:p>
      <w:pPr>
        <w:pStyle w:val="SectionLabel"/>
        <w:spacing w:before="0"/>
      </w:pPr>
      <w:r>
        <w:t>THE GAME  ·  CHAPTER 01</w:t>
      </w:r>
    </w:p>
    <w:p>
      <w:pPr>
        <w:spacing w:after="200"/>
      </w:pPr>
      <w:r>
        <w:rPr>
          <w:b/>
          <w:sz w:val="24"/>
        </w:rPr>
        <w:t>The reform begins with a set of promises that every later rule must keep. Expansion is worthwhile only if better performance creates a better path and modernization protects the features that make college football distinctive.</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w:t>
            </w:r>
            <w:r>
              <w:br/>
            </w:r>
            <w:r>
              <w:rPr>
                <w:b/>
                <w:color w:val="5D6B75"/>
                <w:sz w:val="14"/>
              </w:rPr>
              <w:t>FBS ECOSYSTEM</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Every</w:t>
            </w:r>
            <w:r>
              <w:br/>
            </w:r>
            <w:r>
              <w:rPr>
                <w:b/>
                <w:color w:val="5D6B75"/>
                <w:sz w:val="14"/>
              </w:rPr>
              <w:t>BETTER FINISH REWARDED</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Campus</w:t>
            </w:r>
            <w:r>
              <w:br/>
            </w:r>
            <w:r>
              <w:rPr>
                <w:b/>
                <w:color w:val="5D6B75"/>
                <w:sz w:val="14"/>
              </w:rPr>
              <w:t>PREFERRED GAME SITE</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Neutral</w:t>
            </w:r>
            <w:r>
              <w:br/>
            </w:r>
            <w:r>
              <w:rPr>
                <w:b/>
                <w:color w:val="5D6B75"/>
                <w:sz w:val="14"/>
              </w:rPr>
              <w:t>INSTITUTIONAL DEFINITIONS</w:t>
            </w:r>
          </w:p>
        </w:tc>
      </w:tr>
    </w:tbl>
    <w:p>
      <w:pPr>
        <w:pStyle w:val="Heading2"/>
      </w:pPr>
      <w:r>
        <w:t>Current recommendation</w:t>
      </w:r>
    </w:p>
    <w:p>
      <w:pPr>
        <w:pStyle w:val="Decision"/>
      </w:pPr>
      <w:r>
        <w:t>Use one test for every reform: does it reward winning, preserve an FBS path, protect campus football, and keep unrelated market activity out of championship season?</w:t>
      </w:r>
    </w:p>
    <w:p>
      <w:pPr>
        <w:pStyle w:val="Heading2"/>
      </w:pPr>
      <w:r>
        <w:t>Why change is needed</w:t>
      </w:r>
    </w:p>
    <w:p>
      <w:r>
        <w:t>College football often fixes one problem at a time. The result can expand access while weakening the regular season, protect tradition while hiding favoritism, or create player freedom without reliable rules.</w:t>
      </w:r>
    </w:p>
    <w:p>
      <w:pPr>
        <w:pStyle w:val="Heading2"/>
      </w:pPr>
      <w:r>
        <w:t>Recommendation at a glance</w:t>
      </w:r>
    </w:p>
    <w:p>
      <w:pPr>
        <w:pStyle w:val="ListBullet"/>
        <w:keepLines/>
      </w:pPr>
      <w:r>
        <w:t>Every eligible FBS team keeps a route to the CFP, and every better finish must earn a better postseason benefit.</w:t>
      </w:r>
    </w:p>
    <w:p>
      <w:pPr>
        <w:pStyle w:val="ListBullet"/>
        <w:keepLines/>
      </w:pPr>
      <w:r>
        <w:t>National rules use institutional categories and published standards—not the name, conference brand, or television value of a school.</w:t>
      </w:r>
    </w:p>
    <w:p>
      <w:pPr>
        <w:pStyle w:val="ListBullet"/>
        <w:keepLines/>
      </w:pPr>
      <w:r>
        <w:t>Market freedom is the default; restrictions must identify the harm they prevent and take effect prospectively.</w:t>
      </w:r>
    </w:p>
    <w:p>
      <w:pPr>
        <w:pStyle w:val="Heading2"/>
      </w:pPr>
      <w:r>
        <w:t>Why this approach</w:t>
      </w:r>
    </w:p>
    <w:p>
      <w:r>
        <w:t>These principles are a consistency check. A later rule cannot call itself reform if it produces a ranking position teams would rather avoid or changes the competitive population during the season.</w:t>
      </w:r>
    </w:p>
    <w:p>
      <w:pPr>
        <w:pStyle w:val="SectionLabel"/>
        <w:spacing w:before="160"/>
      </w:pPr>
      <w:r>
        <w:t>THE TRADEOFF</w:t>
      </w:r>
    </w:p>
    <w:p>
      <w:pPr>
        <w:spacing w:after="160"/>
      </w:pPr>
      <w:r>
        <w:t>A common national floor limits some local discretion. The proposal therefore standardizes only what must be shared and leaves rivalries, conference identity, scheduling choices, and lawful compensation strategy local.</w:t>
      </w:r>
    </w:p>
    <w:p>
      <w:pPr>
        <w:pStyle w:val="SectionLabel"/>
        <w:spacing w:before="160"/>
      </w:pPr>
      <w:r>
        <w:t>IN PRACTICE</w:t>
      </w:r>
    </w:p>
    <w:p>
      <w:pPr>
        <w:spacing w:after="160"/>
      </w:pPr>
      <w:r>
        <w:t>If finishing No. 5 creates an easier route than finishing No. 4, the bracket fails before anyone debates which schools received those seeds.</w:t>
      </w:r>
    </w:p>
    <w:p>
      <w:pPr>
        <w:pStyle w:val="Heading2"/>
      </w:pPr>
      <w:r>
        <w:t>The proposed rule</w:t>
      </w:r>
    </w:p>
    <w:p>
      <w:pPr>
        <w:pStyle w:val="ListBullet"/>
        <w:keepLines/>
      </w:pPr>
      <w:r>
        <w:t>Every eligible FBS institution retains a path to the CFP.</w:t>
      </w:r>
    </w:p>
    <w:p>
      <w:pPr>
        <w:pStyle w:val="ListBullet"/>
        <w:keepLines/>
      </w:pPr>
      <w:r>
        <w:t>No institution should prefer the ranking position directly below it.</w:t>
      </w:r>
    </w:p>
    <w:p>
      <w:pPr>
        <w:pStyle w:val="ListBullet"/>
        <w:keepLines/>
      </w:pPr>
      <w:r>
        <w:t>A required conference championship appearance should create opportunity, not disproportionate downside.</w:t>
      </w:r>
    </w:p>
    <w:p>
      <w:pPr>
        <w:pStyle w:val="ListBullet"/>
        <w:keepLines/>
      </w:pPr>
      <w:r>
        <w:t>Official decisions must separate what a team earned from a prediction of how good it is now.</w:t>
      </w:r>
    </w:p>
    <w:p>
      <w:pPr>
        <w:pStyle w:val="ListBullet"/>
        <w:keepLines/>
      </w:pPr>
      <w:r>
        <w:t>Conferences retain identity and scheduling authority inside shared national participation standards.</w:t>
      </w:r>
    </w:p>
    <w:p>
      <w:pPr>
        <w:pStyle w:val="ListBullet"/>
        <w:keepLines/>
      </w:pPr>
      <w:r>
        <w:t>Economic freedom and player mobility remain the default; national restrictions must protect a defined competitive or contractual need.</w:t>
      </w:r>
    </w:p>
    <w:p>
      <w:pPr>
        <w:pStyle w:val="ListBullet"/>
        <w:keepLines/>
      </w:pPr>
      <w:r>
        <w:t>Material competitive rules publish before the season and ordinarily take effect in the following cycle rather than changing during championship competition.</w:t>
      </w:r>
    </w:p>
    <w:p>
      <w:pPr>
        <w:pStyle w:val="Heading2"/>
      </w:pPr>
      <w:r>
        <w:t>How the chapter works</w:t>
      </w:r>
    </w:p>
    <w:p>
      <w:pPr>
        <w:pStyle w:val="Heading3"/>
      </w:pPr>
      <w:r>
        <w:t>Keep one ecosystem</w:t>
      </w:r>
    </w:p>
    <w:p>
      <w:r>
        <w:t>The complementary National Tournament does not create a new subdivision or close the CFP to institutions outside the Power Four. It adds a second meaningful objective while preserving the CFP as the only FBS national-championship path.</w:t>
      </w:r>
    </w:p>
    <w:p>
      <w:pPr>
        <w:pStyle w:val="Heading3"/>
      </w:pPr>
      <w:r>
        <w:t>Make every position consequential</w:t>
      </w:r>
    </w:p>
    <w:p>
      <w:r>
        <w:t>The postseason is organized into four benefit bands: double bye, single bye, opening-round home game, and opening-round road game. That creates a continuous incentive to improve rather than one qualification cliff followed by nearly identical paths.</w:t>
      </w:r>
    </w:p>
    <w:p>
      <w:pPr>
        <w:pStyle w:val="Heading3"/>
      </w:pPr>
      <w:r>
        <w:t>Use institutional categories, not named teams</w:t>
      </w:r>
    </w:p>
    <w:p>
      <w:r>
        <w:t>The implementing rulebook would define conference members and independents by affiliation for the season rather than embedding individual institutions. An independent remains an independent regardless of reputation, media value, schedule, or a separate postseason agreement.</w:t>
      </w:r>
    </w:p>
    <w:p>
      <w:pPr>
        <w:pStyle w:val="ListBullet"/>
        <w:keepLines/>
      </w:pPr>
      <w:r>
        <w:t>Season classification is based on football membership on the preceding July 1.</w:t>
      </w:r>
    </w:p>
    <w:p>
      <w:pPr>
        <w:pStyle w:val="ListBullet"/>
        <w:keepLines/>
      </w:pPr>
      <w:r>
        <w:t>Power Four status attaches to a conference holding designated access and champion-bye rights in the CFP agreement.</w:t>
      </w:r>
    </w:p>
    <w:p>
      <w:pPr>
        <w:pStyle w:val="ListBullet"/>
        <w:keepLines/>
      </w:pPr>
      <w:r>
        <w:t>A change in designation ordinarily requires two seasons of notice.</w:t>
      </w:r>
    </w:p>
    <w:p>
      <w:pPr>
        <w:pStyle w:val="Heading3"/>
      </w:pPr>
      <w:r>
        <w:t>Protect tradition through incentives</w:t>
      </w:r>
    </w:p>
    <w:p>
      <w:r>
        <w:t>The proposal does not try to standardize colors, rivalries, conferences, bands, or campus identity. It standardizes the national incentives that currently reward weak scheduling, punish extra competition, or push roster-market activity into championship season.</w:t>
      </w:r>
    </w:p>
    <w:p>
      <w:pPr>
        <w:pStyle w:val="Heading3"/>
      </w:pPr>
      <w:r>
        <w:t>Free markets where possible</w:t>
      </w:r>
    </w:p>
    <w:p>
      <w:r>
        <w:t>Players may earn legitimate market compensation, choose flexible or longer agreements, use professional representation, and move when contractually free. The national rulebook regulates conduct—fraud, tampering, gambling, undisclosed conflicts, broken agreements, and competitive cheating—rather than assigning a central price to talent.</w:t>
      </w:r>
    </w:p>
    <w:p>
      <w:pPr>
        <w:pStyle w:val="Heading3"/>
      </w:pPr>
      <w:r>
        <w:t>Protect competitive certainty</w:t>
      </w:r>
    </w:p>
    <w:p>
      <w:r>
        <w:t>Eligibility, roster, transfer, recruiting, compensation-disclosure, and postseason rules should be settled before the season begins. Courts retain their lawful authority, but the sport should reduce emergency in-season litigation through clear jurisdiction, prospective effective dates, fast internal review, and legally tested rules.</w:t>
      </w:r>
    </w:p>
    <w:p>
      <w:pPr>
        <w:pStyle w:val="Heading2"/>
      </w:pPr>
      <w:r>
        <w:t>Decisions already made</w:t>
      </w:r>
    </w:p>
    <w:p>
      <w:pPr>
        <w:pStyle w:val="Heading3"/>
      </w:pPr>
      <w:r>
        <w:t>Which national standards are essential, and which decisions should remain entirely local?</w:t>
      </w:r>
    </w:p>
    <w:p>
      <w:r>
        <w:t>The national floor covers eligibility, athlete rights, agreement standards, market windows, integrity, due process, health and safety, ranking disclosure, and postseason access. Conferences and schools keep scheduling formats, rivalries, compensation strategy, coaching, facilities, and local operations unless those choices conflict with that floor.</w:t>
      </w:r>
    </w:p>
    <w:p>
      <w:pPr>
        <w:pStyle w:val="Heading3"/>
      </w:pPr>
      <w:r>
        <w:t>How should the system respond if conference structure changes dramatically before launch?</w:t>
      </w:r>
    </w:p>
    <w:p>
      <w:r>
        <w:t>Conference designations are functional, not permanent brand entitlements. Before each season the governing body publishes which conferences meet the proposal’s membership, scheduling, and championship criteria; structural change triggers a prospective public review, not a midseason rewrite.</w:t>
      </w:r>
    </w:p>
    <w:p>
      <w:pPr>
        <w:pStyle w:val="Heading2"/>
      </w:pPr>
      <w:r>
        <w:t>Safeguards</w:t>
      </w:r>
    </w:p>
    <w:p>
      <w:pPr>
        <w:pStyle w:val="ListBullet"/>
        <w:keepLines/>
      </w:pPr>
      <w:r>
        <w:t>No permanent list of favored institutions appears in the rulebook.</w:t>
      </w:r>
    </w:p>
    <w:p>
      <w:pPr>
        <w:pStyle w:val="ListBullet"/>
        <w:keepLines/>
      </w:pPr>
      <w:r>
        <w:t>Conference authority remains intact except where national participation requires a common standard.</w:t>
      </w:r>
    </w:p>
    <w:p>
      <w:pPr>
        <w:pStyle w:val="ListBullet"/>
        <w:keepLines/>
      </w:pPr>
      <w:r>
        <w:t>Every later change must be tested against these principles before adoption.</w:t>
      </w:r>
    </w:p>
    <w:p>
      <w:pPr>
        <w:pStyle w:val="ListBullet"/>
        <w:keepLines/>
      </w:pPr>
      <w:r>
        <w:t>Every national restriction must name the harm it prevents, the right it limits, and the review date on which it expires or is renewed.</w:t>
      </w:r>
    </w:p>
    <w:p>
      <w:pPr>
        <w:pStyle w:val="Heading2"/>
      </w:pPr>
      <w:r>
        <w:t>Questions reserved for validation</w:t>
      </w:r>
    </w:p>
    <w:p>
      <w:pPr>
        <w:pStyle w:val="ListBullet"/>
        <w:keepLines/>
      </w:pPr>
      <w:r>
        <w:t>What formal amendment threshold should govern a future change in conference designation?</w:t>
      </w:r>
    </w:p>
    <w:p>
      <w:pPr>
        <w:pStyle w:val="ListBullet"/>
        <w:keepLines/>
      </w:pPr>
      <w:r>
        <w:t>Which market and eligibility rules require collective bargaining, federal legislation, or another durable legal foundation?</w:t>
      </w:r>
    </w:p>
    <w:p>
      <w:pPr>
        <w:pStyle w:val="DocumentLink"/>
      </w:pPr>
      <w:r>
        <w:rPr>
          <w:b/>
        </w:rPr>
        <w:t xml:space="preserve">ONLINE PATHS  </w:t>
      </w:r>
      <w:r>
        <w:t>Complete proposal chapter: bettercollegefootball.com/proposal/full#design-principles</w:t>
        <w:br/>
      </w:r>
      <w:r>
        <w:t>Two-minute brief: bettercollegefootball.com/proposal/design-principles</w:t>
        <w:br/>
      </w:r>
      <w:r>
        <w:t>Evidence and validation: bettercollegefootball.com/evidence</w:t>
      </w:r>
    </w:p>
    <w:p>
      <w:pPr>
        <w:pStyle w:val="Heading1"/>
        <w:pageBreakBefore/>
      </w:pPr>
      <w:r>
        <w:t>02  Scheduling and Conference Architecture</w:t>
      </w:r>
    </w:p>
    <w:p>
      <w:pPr>
        <w:pStyle w:val="SectionLabel"/>
        <w:spacing w:before="0"/>
      </w:pPr>
      <w:r>
        <w:t>THE GAME  ·  CHAPTER 02</w:t>
      </w:r>
    </w:p>
    <w:p>
      <w:pPr>
        <w:spacing w:after="200"/>
      </w:pPr>
      <w:r>
        <w:rPr>
          <w:b/>
          <w:sz w:val="24"/>
        </w:rPr>
        <w:t>A national ranking system cannot be credible when schedules offer too little common evidence. The answer is a shared floor for meaningful competition—not a professional-style national schedule that erases regional identity.</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9</w:t>
            </w:r>
            <w:r>
              <w:br/>
            </w:r>
            <w:r>
              <w:rPr>
                <w:b/>
                <w:color w:val="5D6B75"/>
                <w:sz w:val="14"/>
              </w:rPr>
              <w:t>CONFERENCE GAMES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2</w:t>
            </w:r>
            <w:r>
              <w:br/>
            </w:r>
            <w:r>
              <w:rPr>
                <w:b/>
                <w:color w:val="5D6B75"/>
                <w:sz w:val="14"/>
              </w:rPr>
              <w:t>MEANINGFUL NONCONFERENCE</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w:t>
            </w:r>
            <w:r>
              <w:br/>
            </w:r>
            <w:r>
              <w:rPr>
                <w:b/>
                <w:color w:val="5D6B75"/>
                <w:sz w:val="14"/>
              </w:rPr>
              <w:t>FLEXIBLE GAME</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3</w:t>
            </w:r>
            <w:r>
              <w:br/>
            </w:r>
            <w:r>
              <w:rPr>
                <w:b/>
                <w:color w:val="5D6B75"/>
                <w:sz w:val="14"/>
              </w:rPr>
              <w:t>PROTECTED RIVALS ALLOWED</w:t>
            </w:r>
          </w:p>
        </w:tc>
      </w:tr>
    </w:tbl>
    <w:p>
      <w:pPr>
        <w:pStyle w:val="Heading2"/>
      </w:pPr>
      <w:r>
        <w:t>Current recommendation</w:t>
      </w:r>
    </w:p>
    <w:p>
      <w:pPr>
        <w:pStyle w:val="Decision"/>
      </w:pPr>
      <w:r>
        <w:t>Create more comparable schedules with a nine-game conference slate, two meaningful nonconference games, and one coordinated interconference challenge—without replacing conferences with a national schedule office.</w:t>
      </w:r>
    </w:p>
    <w:p>
      <w:pPr>
        <w:pStyle w:val="Heading2"/>
      </w:pPr>
      <w:r>
        <w:t>Why change is needed</w:t>
      </w:r>
    </w:p>
    <w:p>
      <w:r>
        <w:t>Teams are judged against one another even when their schedules contain too little shared evidence. That rewards strategic avoidance and leaves rankings to fill the gap with reputation.</w:t>
      </w:r>
    </w:p>
    <w:p>
      <w:pPr>
        <w:pStyle w:val="Heading2"/>
      </w:pPr>
      <w:r>
        <w:t>Recommendation at a glance</w:t>
      </w:r>
    </w:p>
    <w:p>
      <w:pPr>
        <w:pStyle w:val="ListBullet"/>
        <w:keepLines/>
      </w:pPr>
      <w:r>
        <w:t>Power Four teams play nine conference games, two meaningful nonconference games, and one flexible game.</w:t>
      </w:r>
    </w:p>
    <w:p>
      <w:pPr>
        <w:pStyle w:val="ListBullet"/>
        <w:keepLines/>
      </w:pPr>
      <w:r>
        <w:t>One nonconference game belongs to a centrally coordinated challenge that creates recurring cross-conference evidence.</w:t>
      </w:r>
    </w:p>
    <w:p>
      <w:pPr>
        <w:pStyle w:val="ListBullet"/>
        <w:keepLines/>
      </w:pPr>
      <w:r>
        <w:t>Rivalries remain protected, late FCS games disappear, and large leagues publish strength-adjusted tiebreakers before the season.</w:t>
      </w:r>
    </w:p>
    <w:p>
      <w:pPr>
        <w:pStyle w:val="Heading2"/>
      </w:pPr>
      <w:r>
        <w:t>Why this approach</w:t>
      </w:r>
    </w:p>
    <w:p>
      <w:r>
        <w:t>The goal is not identical schedules. It is enough connection that records, opponent quality, and conference results can be compared with less guesswork.</w:t>
      </w:r>
    </w:p>
    <w:p>
      <w:pPr>
        <w:pStyle w:val="SectionLabel"/>
        <w:spacing w:before="160"/>
      </w:pPr>
      <w:r>
        <w:t>THE TRADEOFF</w:t>
      </w:r>
    </w:p>
    <w:p>
      <w:pPr>
        <w:spacing w:after="160"/>
      </w:pPr>
      <w:r>
        <w:t>A stronger shared floor reduces some scheduling freedom and can add travel. Matchups therefore need advance notice, regional sense where possible, and no after-the-fact selection for television value.</w:t>
      </w:r>
    </w:p>
    <w:p>
      <w:pPr>
        <w:pStyle w:val="SectionLabel"/>
        <w:spacing w:before="160"/>
      </w:pPr>
      <w:r>
        <w:t>IN PRACTICE</w:t>
      </w:r>
    </w:p>
    <w:p>
      <w:pPr>
        <w:spacing w:after="160"/>
      </w:pPr>
      <w:r>
        <w:t>A challenge opponent is assigned through a published rotation before anyone knows which matchup will draw the biggest rating; the result becomes real cross-conference evidence rather than a made-for-TV exception.</w:t>
      </w:r>
    </w:p>
    <w:p>
      <w:pPr>
        <w:pStyle w:val="Heading2"/>
      </w:pPr>
      <w:r>
        <w:t>The proposed rule</w:t>
      </w:r>
    </w:p>
    <w:p>
      <w:pPr>
        <w:pStyle w:val="ListBullet"/>
        <w:keepLines/>
      </w:pPr>
      <w:r>
        <w:t>Power Four institutions play nine conference games, two meaningful nonconference games, and one flexible game.</w:t>
      </w:r>
    </w:p>
    <w:p>
      <w:pPr>
        <w:pStyle w:val="ListBullet"/>
        <w:keepLines/>
      </w:pPr>
      <w:r>
        <w:t>One meaningful nonconference game becomes part of a centrally coordinated interconference challenge.</w:t>
      </w:r>
    </w:p>
    <w:p>
      <w:pPr>
        <w:pStyle w:val="ListBullet"/>
        <w:keepLines/>
      </w:pPr>
      <w:r>
        <w:t>No FCS game is scheduled after approximately October 1.</w:t>
      </w:r>
    </w:p>
    <w:p>
      <w:pPr>
        <w:pStyle w:val="ListBullet"/>
        <w:keepLines/>
      </w:pPr>
      <w:r>
        <w:t>Each team may protect up to three annual conference opponents, subject to balancing rules.</w:t>
      </w:r>
    </w:p>
    <w:p>
      <w:pPr>
        <w:pStyle w:val="ListBullet"/>
        <w:keepLines/>
      </w:pPr>
      <w:r>
        <w:t>Large conferences publish strength-adjusted tiebreakers before the season.</w:t>
      </w:r>
    </w:p>
    <w:p>
      <w:pPr>
        <w:pStyle w:val="Heading2"/>
      </w:pPr>
      <w:r>
        <w:t>How the chapter works</w:t>
      </w:r>
    </w:p>
    <w:p>
      <w:pPr>
        <w:pStyle w:val="Heading3"/>
      </w:pPr>
      <w:r>
        <w:t>A common schedule floor</w:t>
      </w:r>
    </w:p>
    <w:p>
      <w:r>
        <w:t>The standard makes résumés more comparable while preserving one flexible game. Meaningful opponents can include Power Four institutions, FBS independents, or other FBS teams meeting a published quality threshold. Double-bye eligibility also requires a minimum schedule standard.</w:t>
      </w:r>
    </w:p>
    <w:p>
      <w:pPr>
        <w:pStyle w:val="Heading3"/>
      </w:pPr>
      <w:r>
        <w:t>The College Football Challenge</w:t>
      </w:r>
    </w:p>
    <w:p>
      <w:r>
        <w:t>Designated conferences rotate pairings on a multi-year cycle and match teams by prior-year performance tiers. Most games are home-and-home. A limited number can become neutral showcases operated by bowl organizations. Independent and qualifying non-Power Four institutions join through a pool balancing quality, geography, and home-game equity.</w:t>
      </w:r>
    </w:p>
    <w:p>
      <w:pPr>
        <w:pStyle w:val="Heading3"/>
      </w:pPr>
      <w:r>
        <w:t>How the rotation is administered</w:t>
      </w:r>
    </w:p>
    <w:p>
      <w:r>
        <w:t>Each participating conference submits protected rivalries, existing nonconference contracts, available home dates, and venue constraints before the rotation is drawn. The administrator publishes the multi-year pairing logic, performance bands, home-and-away balance, replacement order, and the treatment of a canceled game before schools know the season's selection stakes. A neutral-site conversion requires both teams' consent and must preserve the rotation's long-term home-game equity.</w:t>
      </w:r>
    </w:p>
    <w:p>
      <w:pPr>
        <w:pStyle w:val="ListBullet"/>
        <w:keepLines/>
      </w:pPr>
      <w:r>
        <w:t>The meaningful-game threshold is set before scheduling begins and cannot be rewritten after an opponent has a weak season.</w:t>
      </w:r>
    </w:p>
    <w:p>
      <w:pPr>
        <w:pStyle w:val="ListBullet"/>
        <w:keepLines/>
      </w:pPr>
      <w:r>
        <w:t>Independents and qualifying non-Power Four teams receive access through the same published pool rather than private one-off exceptions.</w:t>
      </w:r>
    </w:p>
    <w:p>
      <w:pPr>
        <w:pStyle w:val="ListBullet"/>
        <w:keepLines/>
      </w:pPr>
      <w:r>
        <w:t>An unavoidable cancellation can use the published replacement order; it cannot become a late opportunity to choose the easiest available opponent.</w:t>
      </w:r>
    </w:p>
    <w:p>
      <w:pPr>
        <w:pStyle w:val="ListBullet"/>
        <w:keepLines/>
      </w:pPr>
      <w:r>
        <w:t>The October FCS limit keeps late-season résumé comparisons centered on FBS competition while preserving early-season local and financial relationships.</w:t>
      </w:r>
    </w:p>
    <w:p>
      <w:pPr>
        <w:pStyle w:val="Heading3"/>
      </w:pPr>
      <w:r>
        <w:t>Rivalries are a design requirement</w:t>
      </w:r>
    </w:p>
    <w:p>
      <w:r>
        <w:t>Rivalry Week remains the final regular-season weekend, and protected opponents remain part of conference schedule construction. A schedule can be mathematically balanced and still be a cultural failure; the reform explicitly rejects that trade.</w:t>
      </w:r>
    </w:p>
    <w:p>
      <w:pPr>
        <w:pStyle w:val="Heading3"/>
      </w:pPr>
      <w:r>
        <w:t>Fairer large-conference standings</w:t>
      </w:r>
    </w:p>
    <w:p>
      <w:r>
        <w:t>When teams with identical records did not play, head-to-head cannot solve qualification. Conferences would use a published adjustment built from opponent conference performance and shared-opponent data rather than an unexplained national ranking. Divisions, pods, and protected-opponent systems all remain available.</w:t>
      </w:r>
    </w:p>
    <w:p>
      <w:pPr>
        <w:pStyle w:val="Heading2"/>
      </w:pPr>
      <w:r>
        <w:t>Decisions already made</w:t>
      </w:r>
    </w:p>
    <w:p>
      <w:pPr>
        <w:pStyle w:val="Heading3"/>
      </w:pPr>
      <w:r>
        <w:t>Which strength-adjusted tiebreaker is transparent enough for fans and stable enough for qualification?</w:t>
      </w:r>
    </w:p>
    <w:p>
      <w:r>
        <w:t>Use the published National Résumé Rating as the final cross-schedule tiebreaker after head-to-head, common-opponent, and conference-record procedures. The input file and calculation must be frozen and auditable before qualification is decided.</w:t>
      </w:r>
    </w:p>
    <w:p>
      <w:pPr>
        <w:pStyle w:val="Heading2"/>
      </w:pPr>
      <w:r>
        <w:t>Safeguards</w:t>
      </w:r>
    </w:p>
    <w:p>
      <w:pPr>
        <w:pStyle w:val="ListBullet"/>
        <w:keepLines/>
      </w:pPr>
      <w:r>
        <w:t>Challenge rotations and matchup tiers are announced far enough in advance for travel and ticket planning.</w:t>
      </w:r>
    </w:p>
    <w:p>
      <w:pPr>
        <w:pStyle w:val="ListBullet"/>
        <w:keepLines/>
      </w:pPr>
      <w:r>
        <w:t>Campus home-game equity is tracked across the full rotation.</w:t>
      </w:r>
    </w:p>
    <w:p>
      <w:pPr>
        <w:pStyle w:val="ListBullet"/>
        <w:keepLines/>
      </w:pPr>
      <w:r>
        <w:t>Schedule thresholds reward ambition without making geography or existing contracts impossible to manage.</w:t>
      </w:r>
    </w:p>
    <w:p>
      <w:pPr>
        <w:pStyle w:val="Heading2"/>
      </w:pPr>
      <w:r>
        <w:t>Questions reserved for validation</w:t>
      </w:r>
    </w:p>
    <w:p>
      <w:pPr>
        <w:pStyle w:val="ListBullet"/>
        <w:keepLines/>
      </w:pPr>
      <w:r>
        <w:t>What opponent-quality threshold should satisfy a meaningful nonconference requirement?</w:t>
      </w:r>
    </w:p>
    <w:p>
      <w:pPr>
        <w:pStyle w:val="ListBullet"/>
        <w:keepLines/>
      </w:pPr>
      <w:r>
        <w:t>How should conferences compensate institutions that give up existing high-value home inventory?</w:t>
      </w:r>
    </w:p>
    <w:p>
      <w:pPr>
        <w:pStyle w:val="DocumentLink"/>
      </w:pPr>
      <w:r>
        <w:rPr>
          <w:b/>
        </w:rPr>
        <w:t xml:space="preserve">ONLINE PATHS  </w:t>
      </w:r>
      <w:r>
        <w:t>Complete proposal chapter: bettercollegefootball.com/proposal/full#scheduling-architecture</w:t>
        <w:br/>
      </w:r>
      <w:r>
        <w:t>Two-minute brief: bettercollegefootball.com/proposal/scheduling-architecture</w:t>
        <w:br/>
      </w:r>
      <w:r>
        <w:t>Evidence and validation: bettercollegefootball.com/evidence</w:t>
      </w:r>
    </w:p>
    <w:p>
      <w:pPr>
        <w:pStyle w:val="Heading1"/>
        <w:pageBreakBefore/>
      </w:pPr>
      <w:r>
        <w:t>03  Transparent Rankings and Résumé Evaluation</w:t>
      </w:r>
    </w:p>
    <w:p>
      <w:pPr>
        <w:pStyle w:val="SectionLabel"/>
        <w:spacing w:before="0"/>
      </w:pPr>
      <w:r>
        <w:t>THE GAME  ·  CHAPTER 03</w:t>
      </w:r>
    </w:p>
    <w:p>
      <w:pPr>
        <w:spacing w:after="200"/>
      </w:pPr>
      <w:r>
        <w:rPr>
          <w:b/>
          <w:sz w:val="24"/>
        </w:rPr>
        <w:t>NRR starts with what a team accomplished against the schedule it actually played. It gives schedule difficulty a visible, consistent role, reduces unexplained subjectivity, and shows exactly where committee judgment changed the result.</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2</w:t>
            </w:r>
            <w:r>
              <w:br/>
            </w:r>
            <w:r>
              <w:rPr>
                <w:b/>
                <w:color w:val="5D6B75"/>
                <w:sz w:val="14"/>
              </w:rPr>
              <w:t>SEPARATE RATINGS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0</w:t>
            </w:r>
            <w:r>
              <w:br/>
            </w:r>
            <w:r>
              <w:rPr>
                <w:b/>
                <w:color w:val="5D6B75"/>
                <w:sz w:val="14"/>
              </w:rPr>
              <w:t>PRESEASON INPUT</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±3</w:t>
            </w:r>
            <w:r>
              <w:br/>
            </w:r>
            <w:r>
              <w:rPr>
                <w:b/>
                <w:color w:val="5D6B75"/>
                <w:sz w:val="14"/>
              </w:rPr>
              <w:t>EXPLANATION THRESHOLD</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w:t>
            </w:r>
            <w:r>
              <w:br/>
            </w:r>
            <w:r>
              <w:rPr>
                <w:b/>
                <w:color w:val="5D6B75"/>
                <w:sz w:val="14"/>
              </w:rPr>
              <w:t>CONTINUOUS DIMINISHING MARGIN CURVE</w:t>
            </w:r>
          </w:p>
        </w:tc>
      </w:tr>
    </w:tbl>
    <w:p>
      <w:pPr>
        <w:pStyle w:val="Heading2"/>
      </w:pPr>
      <w:r>
        <w:t>Current recommendation</w:t>
      </w:r>
    </w:p>
    <w:p>
      <w:pPr>
        <w:pStyle w:val="Decision"/>
      </w:pPr>
      <w:r>
        <w:t>Publish a résumé-first numerical baseline, keep predictive team strength separate, and require the committee to explain material departures instead of hiding judgment behind a formula.</w:t>
      </w:r>
    </w:p>
    <w:p>
      <w:pPr>
        <w:pStyle w:val="Heading2"/>
      </w:pPr>
      <w:r>
        <w:t>Why change is needed</w:t>
      </w:r>
    </w:p>
    <w:p>
      <w:r>
        <w:t>Selection debates blur two questions: what a team accomplished and how strong it may be tomorrow. When the evidence and weighting stay private, fans cannot tell which question decided the ranking.</w:t>
      </w:r>
    </w:p>
    <w:p>
      <w:pPr>
        <w:pStyle w:val="Heading2"/>
      </w:pPr>
      <w:r>
        <w:t>Recommendation at a glance</w:t>
      </w:r>
    </w:p>
    <w:p>
      <w:pPr>
        <w:pStyle w:val="ListBullet"/>
        <w:keepLines/>
      </w:pPr>
      <w:r>
        <w:t>National Résumé Rating scores completed accomplishment; Team Strength Rating is a separate forecast and never adds selection points.</w:t>
      </w:r>
    </w:p>
    <w:p>
      <w:pPr>
        <w:pStyle w:val="ListBullet"/>
        <w:keepLines/>
      </w:pPr>
      <w:r>
        <w:t>Opponent value updates as the season develops, and only teams actually defeated generate quality-win evidence.</w:t>
      </w:r>
    </w:p>
    <w:p>
      <w:pPr>
        <w:pStyle w:val="ListBullet"/>
        <w:keepLines/>
      </w:pPr>
      <w:r>
        <w:t>The committee owns the final order, but a placement more than three spots from the published NRR order requires a written explanation.</w:t>
      </w:r>
    </w:p>
    <w:p>
      <w:pPr>
        <w:pStyle w:val="Heading2"/>
      </w:pPr>
      <w:r>
        <w:t>Why this approach</w:t>
      </w:r>
    </w:p>
    <w:p>
      <w:r>
        <w:t>Transparency does not eliminate judgment. It makes the judgment inspectable and prevents preseason expectations, conference reputation, or private adjustments from silently becoming résumé credit.</w:t>
      </w:r>
    </w:p>
    <w:p>
      <w:pPr>
        <w:pStyle w:val="SectionLabel"/>
        <w:spacing w:before="160"/>
      </w:pPr>
      <w:r>
        <w:t>THE TRADEOFF</w:t>
      </w:r>
    </w:p>
    <w:p>
      <w:pPr>
        <w:spacing w:after="160"/>
      </w:pPr>
      <w:r>
        <w:t>Any public model simplifies reality and can contain imperfect inputs. Its code, data, sensitivity, and disagreements therefore need independent audit rather than automatic authority.</w:t>
      </w:r>
    </w:p>
    <w:p>
      <w:pPr>
        <w:pStyle w:val="SectionLabel"/>
        <w:spacing w:before="160"/>
      </w:pPr>
      <w:r>
        <w:t>IN PRACTICE</w:t>
      </w:r>
    </w:p>
    <w:p>
      <w:pPr>
        <w:spacing w:after="160"/>
      </w:pPr>
      <w:r>
        <w:t>A highly rated team that loses narrowly may still look strong in a predictive model, but the loss does not become a quality win. Selection begins with what happened, not what the betting market expects next.</w:t>
      </w:r>
    </w:p>
    <w:p>
      <w:pPr>
        <w:pStyle w:val="Heading2"/>
      </w:pPr>
      <w:r>
        <w:t>The proposed rule</w:t>
      </w:r>
    </w:p>
    <w:p>
      <w:pPr>
        <w:pStyle w:val="ListBullet"/>
        <w:keepLines/>
      </w:pPr>
      <w:r>
        <w:t>Preseason polls have no formal role in selection, schedule strength, tiebreakers, or quality-win labels.</w:t>
      </w:r>
    </w:p>
    <w:p>
      <w:pPr>
        <w:pStyle w:val="ListBullet"/>
        <w:keepLines/>
      </w:pPr>
      <w:r>
        <w:t>Every opponent and the full schedule matter. Opponent strength is recalculated throughout the season using the team each opponent became; quality-win credit is awarded only for opponents actually defeated.</w:t>
      </w:r>
    </w:p>
    <w:p>
      <w:pPr>
        <w:pStyle w:val="ListBullet"/>
        <w:keepLines/>
      </w:pPr>
      <w:r>
        <w:t>A National Résumé Rating measures accomplishment and completed-game performance; a separate Team Strength Rating estimates future quality and availability.</w:t>
      </w:r>
    </w:p>
    <w:p>
      <w:pPr>
        <w:pStyle w:val="ListBullet"/>
        <w:keepLines/>
      </w:pPr>
      <w:r>
        <w:t>NRR supplies a public quantitative baseline, not an automatic selection order; the committee owns final calls and explains material departures.</w:t>
      </w:r>
    </w:p>
    <w:p>
      <w:pPr>
        <w:pStyle w:val="ListBullet"/>
        <w:keepLines/>
      </w:pPr>
      <w:r>
        <w:t>The public NRR begins with the first official CFP ranking and updates at every committee release; each checkpoint uses only games completed through the preceding Saturday.</w:t>
      </w:r>
    </w:p>
    <w:p>
      <w:pPr>
        <w:pStyle w:val="ListBullet"/>
        <w:keepLines/>
      </w:pPr>
      <w:r>
        <w:t>A committee placement more than three positions outside the objective résumé range requires a written explanation.</w:t>
      </w:r>
    </w:p>
    <w:p>
      <w:pPr>
        <w:pStyle w:val="Heading2"/>
      </w:pPr>
      <w:r>
        <w:t>How the chapter works</w:t>
      </w:r>
    </w:p>
    <w:p>
      <w:pPr>
        <w:pStyle w:val="Heading3"/>
      </w:pPr>
      <w:r>
        <w:t>Quantify judgment rather than hide it</w:t>
      </w:r>
    </w:p>
    <w:p>
      <w:r>
        <w:t>The goal is to reduce unsupported subjectivity without pretending every piece of context can be automated. NRR measures résumé accomplishment, schedule difficulty, and completed-game evidence under one published formula, then forces major judgment calls into the open. A committee can still weigh context the model does not capture, but it must identify that context and explain why it changed the result.</w:t>
      </w:r>
    </w:p>
    <w:p>
      <w:pPr>
        <w:pStyle w:val="Heading3"/>
      </w:pPr>
      <w:r>
        <w:t>The National Résumé Rating</w:t>
      </w:r>
    </w:p>
    <w:p>
      <w:r>
        <w:t>Version 0.55 gives quality-win depth 30%, schedule-adjusted record 30%, opponent-adjusted performance 15%, loss integrity 15%, win control 7.5%, and conference champion 2.5%. Conference Champion is binary: a league champion scores 100 and every non-champion scores 0, with no runner-up partial value. Conference names, brands, recruiting, and preseason expectations never enter the score. Final Opponent Value blends 45% official CFP checkpoint standing, 30% schedule-connected performance, 15% schedule-adjusted record, and 10% schedule caliber. Official standing remains the largest single input, but it no longer treats every credible unranked opponent as nearly interchangeable.</w:t>
      </w:r>
    </w:p>
    <w:p>
      <w:r>
        <w:t>Each game then uses 80% of the opponent’s current evolving value and 20% of a frozen pregame value. For a ranked opponent, its published pregame standing is the floor for that frozen share; unranked opponents receive no poll floor. The official standing curve distinguishes truly elite opponents from the back of the Top 25; unranked teams receive a formula-derived baseline capped below the No. 25 floor. This removes the prior circular risk of using one team’s NRR as the main evidence for another team’s NRR. The performance input moves two points for each point schedule caliber sits above or below 50, limiting soft closed-slate inflation without a conference label.</w:t>
      </w:r>
    </w:p>
    <w:p>
      <w:r>
        <w:t>Each win’s directly comparable Game Value blends 85% opponent-and-venue value with 15% game-level opponent-adjusted play efficiency. That game input subtracts opponent EPA allowed from team EPA, adds the opponent’s national baseline, and reliability-shrinks the result toward the team’s season baseline before national checkpoint standardization. It is distinct from the separate 15% season-wide Opponent-Adjusted Performance component. Opponent quality then enters one continuous, unbounded diminishing-return evidence curve on a gentler 22-point scale and game control supplies only a bounded 0.925–1.075 multiplier. Every stronger opponent still adds more evidence; there is no hard evidence cap or tier cutoff.</w:t>
      </w:r>
    </w:p>
    <w:p>
      <w:r>
        <w:t>Evidence units from every distinct defeated opponent are added before one smooth curve converts the total to the 0–100 Quality-Win Depth component. There is no first-, fourth-, or fifth-win coefficient: equivalent wins receive equivalent evidence. The nonlinear opponent curve allows one truly elite victory to outweigh two fringe Top-25 wins, while four Top-20 wins still receive four complete contributions. Road context is worth up to six points and neutral context up to three, scaled continuously by opponent quality.</w:t>
      </w:r>
    </w:p>
    <w:p>
      <w:r>
        <w:t>Every opponent is ranked nationally at the exact weekly checkpoint; cumulative Top 5, Top 10, Top 15, Top 20, and Top 25 win counts appear on the résumé card, lesser support is disclosed separately, and every evidence card can open the opponent’s horizontal résumé and the archived quarter-by-quarter game line. Schedule-adjusted record gives 65% to achieved record, 17.5% to wins above a fixed benchmark expectation, and 17.5% to schedule-challenge caliber. Every completed game through the checkpoint, including a conference championship, enters all three inputs as a full result. Conference-title losses keep separate low-risk treatment in Loss Integrity and limited record-foundation protection, but Schedule-Adjusted Record does not hide half a loss.</w:t>
      </w:r>
    </w:p>
    <w:p>
      <w:r>
        <w:t>A universal softplus upper-tail calibration centered at 80, with a three-point scale and 0.6 rate, lets exceptional undefeated records approach 100 while remaining nearly dormant for ordinary scores. The frozen 40% / 30% / 30% opponent-context graph remains in place, so the revision does not recursively change every opponent’s value. Ranked opponents draw 90% of their schedule value from the selected official checkpoint and 10% from national play-level strength; unranked opponents retain play-level strength. The schedule term blends 30% of the full slate with 70% of one smooth challenge-weighted average, then uses one continuous 12-point logistic contrast curve so elite slates separate from ordinary ones without a tier line.</w:t>
      </w:r>
    </w:p>
    <w:p>
      <w:r>
        <w:t>Every opponent counts, with no tier cutoff or counted-game cap. Scored opponent-adjusted performance begins with the national ridge estimate and subtracts one continuous, deduction-only soft-schedule credibility term. The same shortfall lightly scales Win Control, keeping an unbeaten elite résumé near the top of the scale without granting soft schedules a free pass. Opponent-adjusted performance fits every offense and defense together from meaningful scrimmage-play EPA across the national schedule. Loss integrity stays on an independent first-pass opponent graph; its continuous 1.2-rate exponential decay applies to the 0.45-power weakest-loss shortfall below Opponent Value 60, while no loss earns quality credit.</w:t>
      </w:r>
    </w:p>
    <w:p>
      <w:r>
        <w:t>A smooth two-point lower-tail calibration preserves separation among damaged résumés without imposing a score floor: zero remains zero and 100 remains 100. Quality-Win Depth receives a smaller 1.5-point version of the same endpoint-anchored calibration. The multiplicative additional-loss frequency rate is 25%. Loss game state gives 20% to the start of Q4, 35% to 6:00, and 45% to 2:00, while the home or neutral charge diminishes smoothly against stronger opponents without disappearing. A separate opponent-independent extreme-blowout tail uses the worst final or late-game deficit, with a smooth 29-point midpoint, three-point scale, and 1.6 severity-point rate rather than a hard cutoff.</w:t>
      </w:r>
    </w:p>
    <w:p>
      <w:r>
        <w:t>Every conference-title loss receives half ordinary frequency treatment and one smooth low-risk severity curve: a two-point base plus up to 4.5 points on an 18-point decay scale. The curve still distinguishes close and ugly title losses, while a title-game rematch retains 60% of the ordinary repeat-opponent charge. A separate standalone game cost converts only that game’s direct severity through the common 65-point decay and lower-tail calibration; full-résumé frequency and weakest-loss portfolio effects are not applied a second time. The exact résumé allocation remains a within-team accounting figure.</w:t>
      </w:r>
    </w:p>
    <w:p>
      <w:r>
        <w:t>When two teams have the same record and sit within one point in the frozen provisional résumé Index, a direct win earns a small 0.35 raw-composite peer tiebreak. That rule is capped, formula-defined, and visible—it is not a committee reorder. The six weighted measures are first multiplied by one universal record foundation—40% floor plus achieved winning percentage curved to 1.15, followed by a continuous soft-schedule deduction that rises with loss rate to the 1.5 power—making the actual record the majority input to résumé credibility. Scored performance keeps the full slate as its schedule baseline and uses one continuous gate to validate it with the two strongest national schedule connections.</w:t>
      </w:r>
    </w:p>
    <w:p>
      <w:r>
        <w:t>The same formula applies to every team, with no school, conference-reputation, or manual adjustment. The published NRR Index then remains exactly 20 + 0.85 × raw composite, and the unrounded Index determines rank. There is no school override, conference multiplier, poll reconciliation, or manual adjustment. Readers may test alternative weights privately without changing the proposal default. The public NRR begins with the first official CFP ranking and is recalculated at every committee release using only games completed through the preceding Saturday.</w:t>
      </w:r>
    </w:p>
    <w:p>
      <w:pPr>
        <w:pStyle w:val="Heading3"/>
      </w:pPr>
      <w:r>
        <w:t>A distinct strength estimate</w:t>
      </w:r>
    </w:p>
    <w:p>
      <w:r>
        <w:t>The Team Strength Rating asks how good a team is likely to be next and may weigh current availability, recent performance, and validated predictive efficiency. NRR’s opponent-adjusted performance is different: it describes completed plays only. An injury does not erase completed wins in the résumé rating, but it can affect the separate strength estimate. The committee must explain how it balanced the two.</w:t>
      </w:r>
    </w:p>
    <w:p>
      <w:pPr>
        <w:pStyle w:val="Heading3"/>
      </w:pPr>
      <w:r>
        <w:t>Venue-adjusted opponent quality</w:t>
      </w:r>
    </w:p>
    <w:p>
      <w:r>
        <w:t>The same opponent should not carry the same difficulty label everywhere. The proposal’s initial Q1 bands are NRR 1–15 at home, 1–20 on a neutral field, and 1–25 on the road. The public bands aid communication while the underlying model stays continuous.</w:t>
      </w:r>
    </w:p>
    <w:p>
      <w:pPr>
        <w:pStyle w:val="Heading3"/>
      </w:pPr>
      <w:r>
        <w:t>Publish the dashboard and the disagreement</w:t>
      </w:r>
    </w:p>
    <w:p>
      <w:r>
        <w:t>Every team page would show CFP rank, résumé rating, strength rating, schedule strength, strength of record, quality results, road performance, best wins, losses, and conference results. The public archive preserves every release, movement from the prior week, the same-date CFP comparison, model code, data definitions, recusal rules, and an annual validation report.</w:t>
      </w:r>
    </w:p>
    <w:p>
      <w:pPr>
        <w:pStyle w:val="Heading2"/>
      </w:pPr>
      <w:r>
        <w:t>Decisions already made</w:t>
      </w:r>
    </w:p>
    <w:p>
      <w:pPr>
        <w:pStyle w:val="Heading3"/>
      </w:pPr>
      <w:r>
        <w:t>How much predictive information, if any, should influence selection rather than matchup analysis?</w:t>
      </w:r>
    </w:p>
    <w:p>
      <w:r>
        <w:t>None. Selection rewards completed résumé accomplishment. Predictive models may inform broadcast analysis, scouting, or matchup preparation, but they do not add selection points or become an unpublished committee input.</w:t>
      </w:r>
    </w:p>
    <w:p>
      <w:pPr>
        <w:pStyle w:val="Heading3"/>
      </w:pPr>
      <w:r>
        <w:t>What independent body should audit model code, input accuracy, and committee explanations?</w:t>
      </w:r>
    </w:p>
    <w:p>
      <w:r>
        <w:t>A conflict-screened audit panel with data, competition, athlete, and statistical expertise reviews the code, source inputs, weekly reproducibility, and material committee departures, then publishes a signed annual report.</w:t>
      </w:r>
    </w:p>
    <w:p>
      <w:pPr>
        <w:pStyle w:val="Heading2"/>
      </w:pPr>
      <w:r>
        <w:t>Safeguards</w:t>
      </w:r>
    </w:p>
    <w:p>
      <w:pPr>
        <w:pStyle w:val="ListBullet"/>
        <w:keepLines/>
      </w:pPr>
      <w:r>
        <w:t>The committee retains final judgment, while the quantified baseline makes major departures visible and answerable.</w:t>
      </w:r>
    </w:p>
    <w:p>
      <w:pPr>
        <w:pStyle w:val="ListBullet"/>
        <w:keepLines/>
      </w:pPr>
      <w:r>
        <w:t>Scoring margin uses a continuous diminishing curve, so every additional point changes the result by less than the point before it.</w:t>
      </w:r>
    </w:p>
    <w:p>
      <w:pPr>
        <w:pStyle w:val="ListBullet"/>
        <w:keepLines/>
      </w:pPr>
      <w:r>
        <w:t>Model weights and data quality are reviewed annually and tested for bias and instability.</w:t>
      </w:r>
    </w:p>
    <w:p>
      <w:pPr>
        <w:pStyle w:val="Heading2"/>
      </w:pPr>
      <w:r>
        <w:t>Questions reserved for validation</w:t>
      </w:r>
    </w:p>
    <w:p>
      <w:pPr>
        <w:pStyle w:val="ListBullet"/>
        <w:keepLines/>
      </w:pPr>
      <w:r>
        <w:t>Which historical outcomes should determine whether the initial weights are well calibrated?</w:t>
      </w:r>
    </w:p>
    <w:p>
      <w:pPr>
        <w:pStyle w:val="DocumentLink"/>
      </w:pPr>
      <w:r>
        <w:rPr>
          <w:b/>
        </w:rPr>
        <w:t xml:space="preserve">ONLINE PATHS  </w:t>
      </w:r>
      <w:r>
        <w:t>Complete proposal chapter: bettercollegefootball.com/proposal/full#transparent-rankings</w:t>
        <w:br/>
      </w:r>
      <w:r>
        <w:t>Two-minute brief: bettercollegefootball.com/proposal/transparent-rankings</w:t>
        <w:br/>
      </w:r>
      <w:r>
        <w:t>Evidence and validation: bettercollegefootball.com/evidence</w:t>
      </w:r>
    </w:p>
    <w:p>
      <w:pPr>
        <w:pStyle w:val="Heading1"/>
        <w:pageBreakBefore/>
      </w:pPr>
      <w:r>
        <w:t>04  Conference Championships That Matter</w:t>
      </w:r>
    </w:p>
    <w:p>
      <w:pPr>
        <w:pStyle w:val="SectionLabel"/>
        <w:spacing w:before="0"/>
      </w:pPr>
      <w:r>
        <w:t>THE GAME  ·  CHAPTER 04</w:t>
      </w:r>
    </w:p>
    <w:p>
      <w:pPr>
        <w:spacing w:after="200"/>
      </w:pPr>
      <w:r>
        <w:rPr>
          <w:b/>
          <w:sz w:val="24"/>
        </w:rPr>
        <w:t>Championship Saturday should offer more upside than downside. The same public rankings model rewards the win, recognizes the champion, and records the loss without treating an earned extra game like an ordinary missed opportunity.</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2.5%</w:t>
            </w:r>
            <w:r>
              <w:br/>
            </w:r>
            <w:r>
              <w:rPr>
                <w:b/>
                <w:color w:val="5D6B75"/>
                <w:sz w:val="14"/>
              </w:rPr>
              <w:t>CHAMPION MEASURE</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½</w:t>
            </w:r>
            <w:r>
              <w:br/>
            </w:r>
            <w:r>
              <w:rPr>
                <w:b/>
                <w:color w:val="5D6B75"/>
                <w:sz w:val="14"/>
              </w:rPr>
              <w:t>TITLE-LOSS FREQUENCY</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Top 25</w:t>
            </w:r>
            <w:r>
              <w:br/>
            </w:r>
            <w:r>
              <w:rPr>
                <w:b/>
                <w:color w:val="5D6B75"/>
                <w:sz w:val="14"/>
              </w:rPr>
              <w:t>QUALITY-WIN LINE</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5</w:t>
            </w:r>
            <w:r>
              <w:br/>
            </w:r>
            <w:r>
              <w:rPr>
                <w:b/>
                <w:color w:val="5D6B75"/>
                <w:sz w:val="14"/>
              </w:rPr>
              <w:t>CHAMPION BYES</w:t>
            </w:r>
          </w:p>
        </w:tc>
      </w:tr>
    </w:tbl>
    <w:p>
      <w:pPr>
        <w:pStyle w:val="Heading2"/>
      </w:pPr>
      <w:r>
        <w:t>Current recommendation</w:t>
      </w:r>
    </w:p>
    <w:p>
      <w:pPr>
        <w:pStyle w:val="Decision"/>
      </w:pPr>
      <w:r>
        <w:t>Make Championship Saturday mostly upside: reward the title distinctly, count the win normally, and keep a required extra-game loss real but less punitive than an ordinary loss.</w:t>
      </w:r>
    </w:p>
    <w:p>
      <w:pPr>
        <w:pStyle w:val="Heading2"/>
      </w:pPr>
      <w:r>
        <w:t>Why change is needed</w:t>
      </w:r>
    </w:p>
    <w:p>
      <w:r>
        <w:t>A team can earn an extra high-level game and risk losing a path already secured over twelve games, while an idle competitor faces no comparable exposure. That makes participation feel like a penalty.</w:t>
      </w:r>
    </w:p>
    <w:p>
      <w:pPr>
        <w:pStyle w:val="Heading2"/>
      </w:pPr>
      <w:r>
        <w:t>Recommendation at a glance</w:t>
      </w:r>
    </w:p>
    <w:p>
      <w:pPr>
        <w:pStyle w:val="ListBullet"/>
        <w:keepLines/>
      </w:pPr>
      <w:r>
        <w:t>A title win changes the record, opponent evidence, and game-control evidence; beating a Top-25 opponent also counts as a quality win.</w:t>
      </w:r>
    </w:p>
    <w:p>
      <w:pPr>
        <w:pStyle w:val="ListBullet"/>
        <w:keepLines/>
      </w:pPr>
      <w:r>
        <w:t>Every league champion receives the same binary Conference Champion component, worth 2.5% of the weighted NRR measures.</w:t>
      </w:r>
    </w:p>
    <w:p>
      <w:pPr>
        <w:pStyle w:val="ListBullet"/>
        <w:keepLines/>
      </w:pPr>
      <w:r>
        <w:t>A title loss receives no quality-loss credit, but uses a bounded severity curve and half the ordinary additional-loss frequency treatment.</w:t>
      </w:r>
    </w:p>
    <w:p>
      <w:pPr>
        <w:pStyle w:val="Heading2"/>
      </w:pPr>
      <w:r>
        <w:t>Why this approach</w:t>
      </w:r>
    </w:p>
    <w:p>
      <w:r>
        <w:t>The model recognizes both accomplishment and extra exposure without inventing conference-specific multipliers. The five-champion CFP access rule remains separate from the ranking component awarded to every league champion.</w:t>
      </w:r>
    </w:p>
    <w:p>
      <w:pPr>
        <w:pStyle w:val="SectionLabel"/>
        <w:spacing w:before="160"/>
      </w:pPr>
      <w:r>
        <w:t>THE TRADEOFF</w:t>
      </w:r>
    </w:p>
    <w:p>
      <w:pPr>
        <w:spacing w:after="160"/>
      </w:pPr>
      <w:r>
        <w:t>Protection is not immunity. A poor title-game performance can still lower the final résumé, and fixed bye capacities can force a published priority rule when claims overlap.</w:t>
      </w:r>
    </w:p>
    <w:p>
      <w:pPr>
        <w:pStyle w:val="SectionLabel"/>
        <w:spacing w:before="160"/>
      </w:pPr>
      <w:r>
        <w:t>IN PRACTICE</w:t>
      </w:r>
    </w:p>
    <w:p>
      <w:pPr>
        <w:spacing w:after="160"/>
      </w:pPr>
      <w:r>
        <w:t>A champion beating a Top-10 opponent gains a win, quality-win evidence, game-control evidence, and the 2.5% champion component. The runner-up keeps the loss, but the required thirteenth game is not treated like an ordinary missed opportunity.</w:t>
      </w:r>
    </w:p>
    <w:p>
      <w:pPr>
        <w:pStyle w:val="Heading2"/>
      </w:pPr>
      <w:r>
        <w:t>The proposed rule</w:t>
      </w:r>
    </w:p>
    <w:p>
      <w:pPr>
        <w:pStyle w:val="ListBullet"/>
        <w:keepLines/>
      </w:pPr>
      <w:r>
        <w:t>An official post-regular-season ranking is published after rivalry week.</w:t>
      </w:r>
    </w:p>
    <w:p>
      <w:pPr>
        <w:pStyle w:val="ListBullet"/>
        <w:keepLines/>
      </w:pPr>
      <w:r>
        <w:t>A conference-title win enters the résumé like every other win: it changes the record, opponent evidence, and game-control record, and qualifies as a public quality win when the opponent is inside the national Top 25.</w:t>
      </w:r>
    </w:p>
    <w:p>
      <w:pPr>
        <w:pStyle w:val="ListBullet"/>
        <w:keepLines/>
      </w:pPr>
      <w:r>
        <w:t>Every league champion receives a binary 100 Conference Champion component weighted at 2.5% of NRR; a runner-up receives no partial champion score.</w:t>
      </w:r>
    </w:p>
    <w:p>
      <w:pPr>
        <w:pStyle w:val="ListBullet"/>
        <w:keepLines/>
      </w:pPr>
      <w:r>
        <w:t>A title-game loss stays in the record and receives no quality-loss credit, but NRR applies a bounded severity curve and half ordinary loss-frequency treatment to the required extra game.</w:t>
      </w:r>
    </w:p>
    <w:p>
      <w:pPr>
        <w:pStyle w:val="ListBullet"/>
        <w:keepLines/>
      </w:pPr>
      <w:r>
        <w:t>A required title-game participant also keeps the playoff benefit attached to its post-regular-season ranking band, subject to the fixed bracket capacities.</w:t>
      </w:r>
    </w:p>
    <w:p>
      <w:pPr>
        <w:pStyle w:val="ListBullet"/>
        <w:keepLines/>
      </w:pPr>
      <w:r>
        <w:t>The five selected conference champions receive CFP berths and at least a single bye; this access rule is separate from the NRR component awarded to every league champion.</w:t>
      </w:r>
    </w:p>
    <w:p>
      <w:pPr>
        <w:pStyle w:val="ListBullet"/>
        <w:keepLines/>
      </w:pPr>
      <w:r>
        <w:t>Fixed two-double-bye and eight-single-bye capacities always remain in force.</w:t>
      </w:r>
    </w:p>
    <w:p>
      <w:pPr>
        <w:pStyle w:val="Heading2"/>
      </w:pPr>
      <w:r>
        <w:t>How the chapter works</w:t>
      </w:r>
    </w:p>
    <w:p>
      <w:pPr>
        <w:pStyle w:val="Heading3"/>
      </w:pPr>
      <w:r>
        <w:t>One result, four visible effects</w:t>
      </w:r>
    </w:p>
    <w:p>
      <w:r>
        <w:t>If a team wins its conference championship against a Top-25 opponent, the result adds a win to its record, enters the Quality-Win Depth evidence curve, contributes its actual game-control evidence, and activates the binary Conference Champion measure. That measure is worth 2.5% of the weighted résumé before the universal record foundation and published Index scaling; it is not a manual 2.5-place jump.</w:t>
      </w:r>
    </w:p>
    <w:p>
      <w:pPr>
        <w:pStyle w:val="Heading3"/>
      </w:pPr>
      <w:r>
        <w:t>Reduced downside—not immunity</w:t>
      </w:r>
    </w:p>
    <w:p>
      <w:r>
        <w:t>If that team loses, the loss still appears in its record and can still lower its final NRR. The model gives no points for a quality loss. It instead limits the extra exposure with one smooth title-loss severity curve, half ordinary loss-frequency treatment, partial record-side protection, and 60% of the normal repeat-opponent charge when the game is a rematch. A close title loss therefore costs less than an equivalent ordinary loss, while a poor title-game performance still matters.</w:t>
      </w:r>
    </w:p>
    <w:p>
      <w:pPr>
        <w:pStyle w:val="Heading3"/>
      </w:pPr>
      <w:r>
        <w:t>The separate playoff-path protection</w:t>
      </w:r>
    </w:p>
    <w:p>
      <w:r>
        <w:t>Before title games, the committee publishes the ranking that identifies each participant’s minimum path. Nos. 1–2 claim a double bye, Nos. 3–10 a single bye, Nos. 11–14 a home opener, and Nos. 15–18 a berth. The final result can improve the team’s order, but the required extra game alone cannot erase that minimum benefit. A team outside the field has no protected berth and can still earn its way in by winning.</w:t>
      </w:r>
    </w:p>
    <w:p>
      <w:pPr>
        <w:pStyle w:val="Heading3"/>
      </w:pPr>
      <w:r>
        <w:t>Capacity reconciliation</w:t>
      </w:r>
    </w:p>
    <w:p>
      <w:r>
        <w:t>Protection cannot manufacture an extra bye. Double-bye slots first protect qualifying title-game participants in the top two; any unprotected slot follows the final ranking. The five selected champions fill the single-bye group first, followed by protected top-ten title participants and then remaining teams in final résumé order until all eight slots are filled.</w:t>
      </w:r>
    </w:p>
    <w:p>
      <w:pPr>
        <w:pStyle w:val="Heading3"/>
      </w:pPr>
      <w:r>
        <w:t>What winning adds</w:t>
      </w:r>
    </w:p>
    <w:p>
      <w:r>
        <w:t>The scoring and access rules do different jobs. NRR gives every league champion the same binary component, without a conference multiplier. The CFP then selects five champions for access and at least one bye, including the required champion from outside the Power Four. An elite champion remains eligible for a double bye through the ordinary résumé order.</w:t>
      </w:r>
    </w:p>
    <w:p>
      <w:pPr>
        <w:pStyle w:val="Heading3"/>
      </w:pPr>
      <w:r>
        <w:t>Conference autonomy and game load</w:t>
      </w:r>
    </w:p>
    <w:p>
      <w:r>
        <w:t>Conferences keep control of the way they crown a champion. A league can consider a four-team internal playoff only if it shortens the affected regular-season path. No conference should add postseason rounds without accounting for the national maximum workload.</w:t>
      </w:r>
    </w:p>
    <w:p>
      <w:pPr>
        <w:pStyle w:val="Heading2"/>
      </w:pPr>
      <w:r>
        <w:t>Decisions already made</w:t>
      </w:r>
    </w:p>
    <w:p>
      <w:pPr>
        <w:pStyle w:val="Heading3"/>
      </w:pPr>
      <w:r>
        <w:t>Should any protection depend on a minimum regular-season ranking or win standard?</w:t>
      </w:r>
    </w:p>
    <w:p>
      <w:r>
        <w:t>Yes. A protection claim applies only inside the published CFP qualification bands and never converts an otherwise unqualified team into an at-large selection. Winning the title can secure defined access; merely appearing cannot erase the résumé floor.</w:t>
      </w:r>
    </w:p>
    <w:p>
      <w:pPr>
        <w:pStyle w:val="Heading3"/>
      </w:pPr>
      <w:r>
        <w:t>How should a conference cancellation or opponent withdrawal affect a protected claim?</w:t>
      </w:r>
    </w:p>
    <w:p>
      <w:r>
        <w:t>A no-fault cancellation preserves the participant’s earned claim. A voluntary withdrawal or adjudicated forfeit can remove it, with the replacement and appeal rules published before the season.</w:t>
      </w:r>
    </w:p>
    <w:p>
      <w:pPr>
        <w:pStyle w:val="Heading2"/>
      </w:pPr>
      <w:r>
        <w:t>Safeguards</w:t>
      </w:r>
    </w:p>
    <w:p>
      <w:pPr>
        <w:pStyle w:val="ListBullet"/>
        <w:keepLines/>
      </w:pPr>
      <w:r>
        <w:t>Protection applies only to a team required to play an additional championship contest.</w:t>
      </w:r>
    </w:p>
    <w:p>
      <w:pPr>
        <w:pStyle w:val="ListBullet"/>
        <w:keepLines/>
      </w:pPr>
      <w:r>
        <w:t>The game may still affect final order; the loss remains visible and protection is not immunity from consequences.</w:t>
      </w:r>
    </w:p>
    <w:p>
      <w:pPr>
        <w:pStyle w:val="ListBullet"/>
        <w:keepLines/>
      </w:pPr>
      <w:r>
        <w:t>No school, conference, or championship brand receives a special multiplier or manual override.</w:t>
      </w:r>
    </w:p>
    <w:p>
      <w:pPr>
        <w:pStyle w:val="ListBullet"/>
        <w:keepLines/>
      </w:pPr>
      <w:r>
        <w:t>The public model must show the champion component and each title-game win or loss contribution separately.</w:t>
      </w:r>
    </w:p>
    <w:p>
      <w:pPr>
        <w:pStyle w:val="ListBullet"/>
        <w:keepLines/>
      </w:pPr>
      <w:r>
        <w:t>The provisional capacity hierarchy must survive at least ten seasons of simulation before adoption.</w:t>
      </w:r>
    </w:p>
    <w:p>
      <w:pPr>
        <w:pStyle w:val="Heading2"/>
      </w:pPr>
      <w:r>
        <w:t>Questions reserved for validation</w:t>
      </w:r>
    </w:p>
    <w:p>
      <w:pPr>
        <w:pStyle w:val="ListBullet"/>
        <w:keepLines/>
      </w:pPr>
      <w:r>
        <w:t>Is the provisional single-bye priority order the fairest way to resolve an over-capacity season?</w:t>
      </w:r>
    </w:p>
    <w:p>
      <w:pPr>
        <w:pStyle w:val="DocumentLink"/>
      </w:pPr>
      <w:r>
        <w:rPr>
          <w:b/>
        </w:rPr>
        <w:t xml:space="preserve">ONLINE PATHS  </w:t>
      </w:r>
      <w:r>
        <w:t>Complete proposal chapter: bettercollegefootball.com/proposal/full#conference-championships</w:t>
        <w:br/>
      </w:r>
      <w:r>
        <w:t>Two-minute brief: bettercollegefootball.com/proposal/conference-championships</w:t>
        <w:br/>
      </w:r>
      <w:r>
        <w:t>Evidence and validation: bettercollegefootball.com/evidence</w:t>
      </w:r>
    </w:p>
    <w:p>
      <w:pPr>
        <w:pStyle w:val="Heading1"/>
        <w:pageBreakBefore/>
      </w:pPr>
      <w:r>
        <w:t>05  The 18-Team College Football Playoff</w:t>
      </w:r>
    </w:p>
    <w:p>
      <w:pPr>
        <w:pStyle w:val="SectionLabel"/>
        <w:spacing w:before="0"/>
      </w:pPr>
      <w:r>
        <w:t>THE GAME  ·  CHAPTER 05</w:t>
      </w:r>
    </w:p>
    <w:p>
      <w:pPr>
        <w:spacing w:after="200"/>
      </w:pPr>
      <w:r>
        <w:rPr>
          <w:b/>
          <w:sz w:val="24"/>
        </w:rPr>
        <w:t>Eighteen is not an arbitrary expansion number. It is the field size that supports two layers of byes while producing an eight-team quarterfinal in which every better regular-season finish earns a meaningfully better route.</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18</w:t>
            </w:r>
            <w:r>
              <w:br/>
            </w:r>
            <w:r>
              <w:rPr>
                <w:b/>
                <w:color w:val="5D6B75"/>
                <w:sz w:val="14"/>
              </w:rPr>
              <w:t>TEAMS IN THE FIELD</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2</w:t>
            </w:r>
            <w:r>
              <w:br/>
            </w:r>
            <w:r>
              <w:rPr>
                <w:b/>
                <w:color w:val="5D6B75"/>
                <w:sz w:val="14"/>
              </w:rPr>
              <w:t>DOUBLE BYES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8</w:t>
            </w:r>
            <w:r>
              <w:br/>
            </w:r>
            <w:r>
              <w:rPr>
                <w:b/>
                <w:color w:val="5D6B75"/>
                <w:sz w:val="14"/>
              </w:rPr>
              <w:t>SINGLE BYES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8</w:t>
            </w:r>
            <w:r>
              <w:br/>
            </w:r>
            <w:r>
              <w:rPr>
                <w:b/>
                <w:color w:val="5D6B75"/>
                <w:sz w:val="14"/>
              </w:rPr>
              <w:t>OPENING-ROUND TEAMS</w:t>
            </w:r>
          </w:p>
        </w:tc>
      </w:tr>
    </w:tbl>
    <w:p>
      <w:pPr>
        <w:pStyle w:val="Heading2"/>
      </w:pPr>
      <w:r>
        <w:t>Current recommendation</w:t>
      </w:r>
    </w:p>
    <w:p>
      <w:pPr>
        <w:pStyle w:val="Decision"/>
      </w:pPr>
      <w:r>
        <w:t>Use an 18-team field to create four meaningful finish bands: two double byes, eight single byes, four campus hosts, and four opening-round road teams.</w:t>
      </w:r>
    </w:p>
    <w:p>
      <w:pPr>
        <w:pStyle w:val="Heading2"/>
      </w:pPr>
      <w:r>
        <w:t>Why change is needed</w:t>
      </w:r>
    </w:p>
    <w:p>
      <w:r>
        <w:t>A larger field adds access only if the regular season still changes the path. A nearly flat bracket turns several ranking positions into the same reward and encourages arguments about qualification instead of finishing order.</w:t>
      </w:r>
    </w:p>
    <w:p>
      <w:pPr>
        <w:pStyle w:val="Heading2"/>
      </w:pPr>
      <w:r>
        <w:t>Recommendation at a glance</w:t>
      </w:r>
    </w:p>
    <w:p>
      <w:pPr>
        <w:pStyle w:val="ListBullet"/>
        <w:keepLines/>
      </w:pPr>
      <w:r>
        <w:t>The field moves 18 → 12 → 8 → 4 → 2, so Nos. 1–2 need three wins while the lowest entrants need five.</w:t>
      </w:r>
    </w:p>
    <w:p>
      <w:pPr>
        <w:pStyle w:val="ListBullet"/>
        <w:keepLines/>
      </w:pPr>
      <w:r>
        <w:t>Five selected conference champions receive access and at least one bye; every visible seed still follows the underlying résumé order.</w:t>
      </w:r>
    </w:p>
    <w:p>
      <w:pPr>
        <w:pStyle w:val="ListBullet"/>
        <w:keepLines/>
      </w:pPr>
      <w:r>
        <w:t>Matchups reseed after the opening round and Round of 12, then the semifinal paths lock.</w:t>
      </w:r>
    </w:p>
    <w:p>
      <w:pPr>
        <w:pStyle w:val="Heading2"/>
      </w:pPr>
      <w:r>
        <w:t>Why this approach</w:t>
      </w:r>
    </w:p>
    <w:p>
      <w:r>
        <w:t>The extra round creates access while byes and campus hosting preserve incentives throughout the ranking. Reseeding prevents an upset winner from inheriting an easier path intended for the favorite it defeated.</w:t>
      </w:r>
    </w:p>
    <w:p>
      <w:pPr>
        <w:pStyle w:val="SectionLabel"/>
        <w:spacing w:before="160"/>
      </w:pPr>
      <w:r>
        <w:t>THE TRADEOFF</w:t>
      </w:r>
    </w:p>
    <w:p>
      <w:pPr>
        <w:spacing w:after="160"/>
      </w:pPr>
      <w:r>
        <w:t>The longest route can reach eighteen games. Potential campus hosts must certify staffing, lodging, winter readiness, and student access before selection, then reconfirm as teams advance. Costs and short-notice operations still need testing; earning a game cannot substitute for safe hosting.</w:t>
      </w:r>
    </w:p>
    <w:p>
      <w:pPr>
        <w:pStyle w:val="SectionLabel"/>
        <w:spacing w:before="160"/>
      </w:pPr>
      <w:r>
        <w:t>IN PRACTICE</w:t>
      </w:r>
    </w:p>
    <w:p>
      <w:pPr>
        <w:spacing w:after="160"/>
      </w:pPr>
      <w:r>
        <w:t>If No. 17 beats No. 9, it returns to No. 17 in the next redraw. The highest remaining team receives that opponent instead of letting No. 17 inherit No. 9’s preassigned path.</w:t>
      </w:r>
    </w:p>
    <w:p>
      <w:pPr>
        <w:pStyle w:val="Heading2"/>
      </w:pPr>
      <w:r>
        <w:t>The proposed rule</w:t>
      </w:r>
    </w:p>
    <w:p>
      <w:pPr>
        <w:pStyle w:val="ListBullet"/>
        <w:keepLines/>
      </w:pPr>
      <w:r>
        <w:t>Teams 1–2 enter in the quarterfinals and need three wins for the title.</w:t>
      </w:r>
    </w:p>
    <w:p>
      <w:pPr>
        <w:pStyle w:val="ListBullet"/>
        <w:keepLines/>
      </w:pPr>
      <w:r>
        <w:t>Eight teams enter in Round 2 and avoid the opening round.</w:t>
      </w:r>
    </w:p>
    <w:p>
      <w:pPr>
        <w:pStyle w:val="ListBullet"/>
        <w:keepLines/>
      </w:pPr>
      <w:r>
        <w:t>After the five champion byes and remaining single byes are assigned, the four highest-ranked teams still in the opening round host the four lowest-ranked teams.</w:t>
      </w:r>
    </w:p>
    <w:p>
      <w:pPr>
        <w:pStyle w:val="ListBullet"/>
        <w:keepLines/>
      </w:pPr>
      <w:r>
        <w:t>The bracket reseeds after Round 1 and Round 2 using the final underlying résumé order.</w:t>
      </w:r>
    </w:p>
    <w:p>
      <w:pPr>
        <w:pStyle w:val="ListBullet"/>
        <w:keepLines/>
      </w:pPr>
      <w:r>
        <w:t>The bracket locks when the quarterfinal matchups are created.</w:t>
      </w:r>
    </w:p>
    <w:p>
      <w:pPr>
        <w:pStyle w:val="Heading2"/>
      </w:pPr>
      <w:r>
        <w:t>How the chapter works</w:t>
      </w:r>
    </w:p>
    <w:p>
      <w:pPr>
        <w:pStyle w:val="Heading3"/>
      </w:pPr>
      <w:r>
        <w:t>Why the bracket math works</w:t>
      </w:r>
    </w:p>
    <w:p>
      <w:r>
        <w:t>The structure works backward from an eight-team quarterfinal. Two double-bye teams wait there, so Round 2 must produce six winners. Twelve teams therefore play in Round 2: eight single-bye teams plus the four winners from the opening round. The sequence is 18 → 12 → 8 → 4 → 2 → champion.</w:t>
      </w:r>
    </w:p>
    <w:p>
      <w:pPr>
        <w:pStyle w:val="Heading3"/>
      </w:pPr>
      <w:r>
        <w:t>Selection and champion access</w:t>
      </w:r>
    </w:p>
    <w:p>
      <w:r>
        <w:t>The committee first creates a straight underlying résumé ranking. The five selected conference champions—including at least one champion from outside the Power Four—receive CFP access and at least a single bye. Remaining places and every reseeded matchup follow résumé strength without a per-conference cap.</w:t>
      </w:r>
    </w:p>
    <w:p>
      <w:pPr>
        <w:pStyle w:val="ListBullet"/>
        <w:keepLines/>
      </w:pPr>
      <w:r>
        <w:t>All five selected champions skip the opening round, including the required non-Power Four champion.</w:t>
      </w:r>
    </w:p>
    <w:p>
      <w:pPr>
        <w:pStyle w:val="ListBullet"/>
        <w:keepLines/>
      </w:pPr>
      <w:r>
        <w:t>The two double-bye positions remain fundamentally merit-based, subject to championship protection.</w:t>
      </w:r>
    </w:p>
    <w:p>
      <w:pPr>
        <w:pStyle w:val="ListBullet"/>
        <w:keepLines/>
      </w:pPr>
      <w:r>
        <w:t>Champion protection changes the entry round, never the visible underlying ranking or later reseeding order.</w:t>
      </w:r>
    </w:p>
    <w:p>
      <w:pPr>
        <w:pStyle w:val="Heading3"/>
      </w:pPr>
      <w:r>
        <w:t>Round-by-round path</w:t>
      </w:r>
    </w:p>
    <w:p>
      <w:r>
        <w:t>Round 1 places four games on campuses. The following weekend becomes a concentrated six-game CFP Bowl Weekend using an illustrative premier set of the Rose, Sugar, Orange, Cotton, Peach, and Fiesta bowls. Christmas week is dark. Quarterfinals and semifinals return to campuses, and the national championship remains neutral.</w:t>
      </w:r>
    </w:p>
    <w:p>
      <w:pPr>
        <w:pStyle w:val="Heading3"/>
      </w:pPr>
      <w:r>
        <w:t>Prepare to host before the matchup is known</w:t>
      </w:r>
    </w:p>
    <w:p>
      <w:r>
        <w:t>A short turnaround should activate a prepared event, not start the planning. Under the proposed hosting standard, every potential host prepares for each campus round it could earn. Standards and decision deadlines publish before the season; readiness is certified before selection and reconfirmed as teams advance. Certification does not guarantee a home game: the bracket still determines who earns it.</w:t>
      </w:r>
    </w:p>
    <w:p>
      <w:pPr>
        <w:pStyle w:val="ListBullet"/>
        <w:keepLines/>
      </w:pPr>
      <w:r>
        <w:t>Reserve the possible dates and confirm paid staffing, security, medical cover, officials, broadcast operations, and a local emergency lead.</w:t>
      </w:r>
    </w:p>
    <w:p>
      <w:pPr>
        <w:pStyle w:val="ListBullet"/>
        <w:keepLines/>
      </w:pPr>
      <w:r>
        <w:t>Hold visiting-team lodging and transport, with written release deadlines and responsibility for standby and cancellation costs.</w:t>
      </w:r>
    </w:p>
    <w:p>
      <w:pPr>
        <w:pStyle w:val="ListBullet"/>
        <w:keepLines/>
      </w:pPr>
      <w:r>
        <w:t>Verify winter field care, safe stadium access, weather contingencies, and travel capacity; a cold-weather location alone is not grounds to move a game.</w:t>
      </w:r>
    </w:p>
    <w:p>
      <w:pPr>
        <w:pStyle w:val="ListBullet"/>
        <w:keepLines/>
      </w:pPr>
      <w:r>
        <w:t>Plan student tickets, housing, dining, and transport around that campus’s actual exam and break dates. Do not assume students or student workers are present.</w:t>
      </w:r>
    </w:p>
    <w:p>
      <w:pPr>
        <w:pStyle w:val="ListBullet"/>
        <w:keepLines/>
      </w:pPr>
      <w:r>
        <w:t>Publish the readiness decision, recheck deadlines, and objective relocation triggers. Use the prearranged neutral fallback only if the host cannot meet those standards.</w:t>
      </w:r>
    </w:p>
    <w:p>
      <w:pPr>
        <w:pStyle w:val="Heading3"/>
      </w:pPr>
      <w:r>
        <w:t>Why reseeding matters</w:t>
      </w:r>
    </w:p>
    <w:p>
      <w:r>
        <w:t>A low-ranked champion can earn a bye without receiving a falsely favorable seed. At each reseed, the highest remaining team faces the lowest remaining team. This preserves both the champion reward and the regular-season value earned by the highest-ranked survivors.</w:t>
      </w:r>
    </w:p>
    <w:p>
      <w:pPr>
        <w:pStyle w:val="Heading3"/>
      </w:pPr>
      <w:r>
        <w:t>How the two redraws are built</w:t>
      </w:r>
    </w:p>
    <w:p>
      <w:r>
        <w:t>The first redraw combines the four campus-round winners with the eight single-bye teams, restores every survivor's final underlying résumé position, and pairs highest against lowest through six games. The second redraw combines those six winners with Nos. 1 and 2, restores the same underlying order again, and creates four quarterfinals. The bracket then stops moving: those four quarterfinals feed two published semifinal paths, so a later upset does not trigger a third redraw.</w:t>
      </w:r>
    </w:p>
    <w:p>
      <w:pPr>
        <w:pStyle w:val="ListBullet"/>
        <w:keepLines/>
      </w:pPr>
      <w:r>
        <w:t>A protected champion ranked No. 16 keeps No. 16 for both redraws; the bye is the title reward, not a manufactured seed.</w:t>
      </w:r>
    </w:p>
    <w:p>
      <w:pPr>
        <w:pStyle w:val="ListBullet"/>
        <w:keepLines/>
      </w:pPr>
      <w:r>
        <w:t>If Nos. 16 and 17 both reach the first redraw, the higher available seed draws No. 17 and the next seed draws No. 16.</w:t>
      </w:r>
    </w:p>
    <w:p>
      <w:pPr>
        <w:pStyle w:val="ListBullet"/>
        <w:keepLines/>
      </w:pPr>
      <w:r>
        <w:t>If No. 18 survives the first two rounds, No. 1 receives No. 18 in the quarterfinal redraw; after that matchup is created, the semifinal path is fixed.</w:t>
      </w:r>
    </w:p>
    <w:p>
      <w:pPr>
        <w:pStyle w:val="ListBullet"/>
        <w:keepLines/>
      </w:pPr>
      <w:r>
        <w:t>Every published bracket view must show the underlying seed, the protected benefit, and the round in which protection expires.</w:t>
      </w:r>
    </w:p>
    <w:p>
      <w:pPr>
        <w:pStyle w:val="Heading3"/>
      </w:pPr>
      <w:r>
        <w:t>Fund the complete playoff path</w:t>
      </w:r>
    </w:p>
    <w:p>
      <w:r>
        <w:t>The 17-game CFP needs a full budget, not a multiplication of extra games by an assumed television price. Reconcile retained rights, tickets, sponsorship and hospitality against travel, hosting, production, access services and shared obligations. Compare the same round and matchup under campus and neutral-site alternatives. Separate expense support from advancement rewards so an earned bye does not create an unfunded obligation or pressure a team to play an unnecessary game.</w:t>
      </w:r>
    </w:p>
    <w:p>
      <w:pPr>
        <w:pStyle w:val="Heading2"/>
      </w:pPr>
      <w:r>
        <w:t>Decisions already made</w:t>
      </w:r>
    </w:p>
    <w:p>
      <w:pPr>
        <w:pStyle w:val="Heading3"/>
      </w:pPr>
      <w:r>
        <w:t>Do ten total byes create the right balance between access and elite-season reward?</w:t>
      </w:r>
    </w:p>
    <w:p>
      <w:r>
        <w:t>The proposal says yes: two double byes and eight single byes make finishing position materially valuable while keeping four opening-round games. Historical testing can still change that answer before adoption, but ten is the stated starting design.</w:t>
      </w:r>
    </w:p>
    <w:p>
      <w:pPr>
        <w:pStyle w:val="Heading3"/>
      </w:pPr>
      <w:r>
        <w:t>Should all four quarterfinals be campus games if winter-weather and venue standards are satisfied?</w:t>
      </w:r>
    </w:p>
    <w:p>
      <w:r>
        <w:t>Yes. Every certified higher seed hosts its quarterfinal. A neutral fallback applies only when the campus fails objective field, safety, travel, accessibility, housing, or broadcast standards—not because a neutral operator prefers the inventory.</w:t>
      </w:r>
    </w:p>
    <w:p>
      <w:pPr>
        <w:pStyle w:val="Heading2"/>
      </w:pPr>
      <w:r>
        <w:t>Safeguards</w:t>
      </w:r>
    </w:p>
    <w:p>
      <w:pPr>
        <w:pStyle w:val="ListBullet"/>
        <w:keepLines/>
      </w:pPr>
      <w:r>
        <w:t>Fixed capacities prevent champion guarantees from creating extra byes.</w:t>
      </w:r>
    </w:p>
    <w:p>
      <w:pPr>
        <w:pStyle w:val="ListBullet"/>
        <w:keepLines/>
      </w:pPr>
      <w:r>
        <w:t>The underlying résumé order remains public even when a protected benefit changes entry point.</w:t>
      </w:r>
    </w:p>
    <w:p>
      <w:pPr>
        <w:pStyle w:val="ListBullet"/>
        <w:keepLines/>
      </w:pPr>
      <w:r>
        <w:t>Medical, rest, travel, and maximum-game-load rules must launch with the format.</w:t>
      </w:r>
    </w:p>
    <w:p>
      <w:pPr>
        <w:pStyle w:val="Heading2"/>
      </w:pPr>
      <w:r>
        <w:t>Questions reserved for validation</w:t>
      </w:r>
    </w:p>
    <w:p>
      <w:pPr>
        <w:pStyle w:val="ListBullet"/>
        <w:keepLines/>
      </w:pPr>
      <w:r>
        <w:t>Could a protected double bye leave a conference-title participant idle for three or four weeks, and can the calendar reduce that gap without turning an earned bye into a penalty?</w:t>
      </w:r>
    </w:p>
    <w:p>
      <w:pPr>
        <w:pStyle w:val="ListBullet"/>
        <w:keepLines/>
      </w:pPr>
      <w:r>
        <w:t>How often would protection rules displace an otherwise top-ten single-bye team in historical seasons?</w:t>
      </w:r>
    </w:p>
    <w:p>
      <w:pPr>
        <w:pStyle w:val="ListBullet"/>
        <w:keepLines/>
      </w:pPr>
      <w:r>
        <w:t>Can potential hosts demonstrate enough staffing, lodging, student access, and winter contingency capacity for every round, and who funds unused reservations?</w:t>
      </w:r>
    </w:p>
    <w:p>
      <w:pPr>
        <w:pStyle w:val="DocumentLink"/>
      </w:pPr>
      <w:r>
        <w:rPr>
          <w:b/>
        </w:rPr>
        <w:t xml:space="preserve">ONLINE PATHS  </w:t>
      </w:r>
      <w:r>
        <w:t>Complete proposal chapter: bettercollegefootball.com/proposal/full#18-team-playoff</w:t>
        <w:br/>
      </w:r>
      <w:r>
        <w:t>Two-minute brief: bettercollegefootball.com/proposal/18-team-playoff</w:t>
        <w:br/>
      </w:r>
      <w:r>
        <w:t>Evidence and validation: bettercollegefootball.com/evidence</w:t>
      </w:r>
    </w:p>
    <w:p>
      <w:pPr>
        <w:pStyle w:val="Heading1"/>
        <w:pageBreakBefore/>
      </w:pPr>
      <w:r>
        <w:t>06  The New Year’s Six and a Rebuilt Bowl Ecosystem</w:t>
      </w:r>
    </w:p>
    <w:p>
      <w:pPr>
        <w:pStyle w:val="SectionLabel"/>
        <w:spacing w:before="0"/>
      </w:pPr>
      <w:r>
        <w:t>THE GAME  ·  CHAPTER 06</w:t>
      </w:r>
    </w:p>
    <w:p>
      <w:pPr>
        <w:spacing w:after="200"/>
      </w:pPr>
      <w:r>
        <w:rPr>
          <w:b/>
          <w:sz w:val="24"/>
        </w:rPr>
        <w:t>Bowls should survive by doing clear jobs exceptionally well rather than serving as an ever-expanding substitute for championship structure. The proposal preserves destination football while reducing purposeless inventory.</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6</w:t>
            </w:r>
            <w:r>
              <w:br/>
            </w:r>
            <w:r>
              <w:rPr>
                <w:b/>
                <w:color w:val="5D6B75"/>
                <w:sz w:val="14"/>
              </w:rPr>
              <w:t>PREMIER CFP BOWLS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8–12</w:t>
            </w:r>
            <w:r>
              <w:br/>
            </w:r>
            <w:r>
              <w:rPr>
                <w:b/>
                <w:color w:val="5D6B75"/>
                <w:sz w:val="14"/>
              </w:rPr>
              <w:t>TRADITIONAL BOWLS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50–58</w:t>
            </w:r>
            <w:r>
              <w:br/>
            </w:r>
            <w:r>
              <w:rPr>
                <w:b/>
                <w:color w:val="5D6B75"/>
                <w:sz w:val="14"/>
              </w:rPr>
              <w:t>POSTSEASON PARTICIPANTS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Week 0/1</w:t>
            </w:r>
            <w:r>
              <w:br/>
            </w:r>
            <w:r>
              <w:rPr>
                <w:b/>
                <w:color w:val="5D6B75"/>
                <w:sz w:val="14"/>
              </w:rPr>
              <w:t>NEW SHOWCASE ROLE</w:t>
            </w:r>
          </w:p>
        </w:tc>
      </w:tr>
    </w:tbl>
    <w:p>
      <w:pPr>
        <w:pStyle w:val="Heading2"/>
      </w:pPr>
      <w:r>
        <w:t>Current recommendation</w:t>
      </w:r>
    </w:p>
    <w:p>
      <w:pPr>
        <w:pStyle w:val="Decision"/>
      </w:pPr>
      <w:r>
        <w:t>Give the six premier bowls one indispensable job as the CFP Round of 12, retain a smaller voluntary reward-trip tier, and move other operators toward valuable regular-season events.</w:t>
      </w:r>
    </w:p>
    <w:p>
      <w:pPr>
        <w:pStyle w:val="Heading2"/>
      </w:pPr>
      <w:r>
        <w:t>Why change is needed</w:t>
      </w:r>
    </w:p>
    <w:p>
      <w:r>
        <w:t>An unlimited bowl inventory cannot simultaneously function as championship structure, tradition, television programming, and meaningful reward. When every game claims equal importance, the system becomes hard to explain.</w:t>
      </w:r>
    </w:p>
    <w:p>
      <w:pPr>
        <w:pStyle w:val="Heading2"/>
      </w:pPr>
      <w:r>
        <w:t>Recommendation at a glance</w:t>
      </w:r>
    </w:p>
    <w:p>
      <w:pPr>
        <w:pStyle w:val="ListBullet"/>
        <w:keepLines/>
      </w:pPr>
      <w:r>
        <w:t>The Rose, Sugar, Orange, Cotton, Peach, and Fiesta form one concentrated six-game CFP round.</w:t>
      </w:r>
    </w:p>
    <w:p>
      <w:pPr>
        <w:pStyle w:val="ListBullet"/>
        <w:keepLines/>
      </w:pPr>
      <w:r>
        <w:t>Competitive slots are seeded first; bowl sites rotate through those slots on a six-year schedule published before teams are known.</w:t>
      </w:r>
    </w:p>
    <w:p>
      <w:pPr>
        <w:pStyle w:val="ListBullet"/>
        <w:keepLines/>
      </w:pPr>
      <w:r>
        <w:t>Roughly 8–12 additional bowls remain voluntary reward trips, while operators may build kickoff games and challenge showcases.</w:t>
      </w:r>
    </w:p>
    <w:p>
      <w:pPr>
        <w:pStyle w:val="Heading2"/>
      </w:pPr>
      <w:r>
        <w:t>Why this approach</w:t>
      </w:r>
    </w:p>
    <w:p>
      <w:r>
        <w:t>The structure preserves destination football and recognizable bowl identity without granting any operator a permanent competitive advantage or the right to rearrange matchups for brands.</w:t>
      </w:r>
    </w:p>
    <w:p>
      <w:pPr>
        <w:pStyle w:val="SectionLabel"/>
        <w:spacing w:before="160"/>
      </w:pPr>
      <w:r>
        <w:t>THE TRADEOFF</w:t>
      </w:r>
    </w:p>
    <w:p>
      <w:pPr>
        <w:spacing w:after="160"/>
      </w:pPr>
      <w:r>
        <w:t>Fewer traditional bowls means less December inventory and some existing contracts must be bought out, replaced, or allowed to expire through a funded transition.</w:t>
      </w:r>
    </w:p>
    <w:p>
      <w:pPr>
        <w:pStyle w:val="SectionLabel"/>
        <w:spacing w:before="160"/>
      </w:pPr>
      <w:r>
        <w:t>IN PRACTICE</w:t>
      </w:r>
    </w:p>
    <w:p>
      <w:pPr>
        <w:spacing w:after="160"/>
      </w:pPr>
      <w:r>
        <w:t>A bowl knows before Week 0 that it owns Slot 3. It receives whichever seeded matchup lands there—not the matchup with the largest fan bases after Selection Day.</w:t>
      </w:r>
    </w:p>
    <w:p>
      <w:pPr>
        <w:pStyle w:val="Heading2"/>
      </w:pPr>
      <w:r>
        <w:t>The proposed rule</w:t>
      </w:r>
    </w:p>
    <w:p>
      <w:pPr>
        <w:pStyle w:val="ListBullet"/>
        <w:keepLines/>
      </w:pPr>
      <w:r>
        <w:t>The Rose, Sugar, Orange, Cotton, Peach, and Fiesta bowls form the CFP’s concentrated six-game Round of 12 working set.</w:t>
      </w:r>
    </w:p>
    <w:p>
      <w:pPr>
        <w:pStyle w:val="ListBullet"/>
        <w:keepLines/>
      </w:pPr>
      <w:r>
        <w:t>Round-of-12 matchups are seeded before a venue is attached: Slot 1 is the highest remaining seed against the lowest, then the same rule continues through Slot 6.</w:t>
      </w:r>
    </w:p>
    <w:p>
      <w:pPr>
        <w:pStyle w:val="ListBullet"/>
        <w:keepLines/>
      </w:pPr>
      <w:r>
        <w:t>The six bowls rotate forward one numbered slot every season on a published six-year cycle, so every site receives each slot once and no operator holds permanent matchup or broadcast priority.</w:t>
      </w:r>
    </w:p>
    <w:p>
      <w:pPr>
        <w:pStyle w:val="ListBullet"/>
        <w:keepLines/>
      </w:pPr>
      <w:r>
        <w:t>The season’s complete site-and-window map is locked and published before Week 0; it cannot be rearranged after teams, brands, ratings, or travel distances are known.</w:t>
      </w:r>
    </w:p>
    <w:p>
      <w:pPr>
        <w:pStyle w:val="ListBullet"/>
        <w:keepLines/>
      </w:pPr>
      <w:r>
        <w:t>After the inaugural six-year cycle, the six-site package is competitively reviewed and may be rebid or replaced under published venue, athlete-welfare, travel, accessibility, and operating standards.</w:t>
      </w:r>
    </w:p>
    <w:p>
      <w:pPr>
        <w:pStyle w:val="ListBullet"/>
        <w:keepLines/>
      </w:pPr>
      <w:r>
        <w:t>Approximately 8–12 traditional bowls remain voluntary reward trips for teams outside both tournaments.</w:t>
      </w:r>
    </w:p>
    <w:p>
      <w:pPr>
        <w:pStyle w:val="ListBullet"/>
        <w:keepLines/>
      </w:pPr>
      <w:r>
        <w:t>Other operators can run kickoff games, interconference-challenge showcases, hospitality, and tourism products.</w:t>
      </w:r>
    </w:p>
    <w:p>
      <w:pPr>
        <w:pStyle w:val="ListBullet"/>
        <w:keepLines/>
      </w:pPr>
      <w:r>
        <w:t>The National Tournament receives Tuesday/Wednesday inventory; the CFP receives Friday/Saturday inventory.</w:t>
      </w:r>
    </w:p>
    <w:p>
      <w:pPr>
        <w:pStyle w:val="ListBullet"/>
        <w:keepLines/>
      </w:pPr>
      <w:r>
        <w:t>The launch structure stops at the CFP, National Tournament, and optional bowls—no third bracket.</w:t>
      </w:r>
    </w:p>
    <w:p>
      <w:pPr>
        <w:pStyle w:val="Heading2"/>
      </w:pPr>
      <w:r>
        <w:t>How the chapter works</w:t>
      </w:r>
    </w:p>
    <w:p>
      <w:pPr>
        <w:pStyle w:val="Heading3"/>
      </w:pPr>
      <w:r>
        <w:t>A defined three-track postseason</w:t>
      </w:r>
    </w:p>
    <w:p>
      <w:r>
        <w:t>The 18-team CFP determines the FBS national champion. The 16-team National Tournament creates a separate title for eligible institutions outside the Power Four. A smaller traditional-bowl group offers voluntary reward trips and appealing matchups for teams outside both fields.</w:t>
      </w:r>
    </w:p>
    <w:p>
      <w:pPr>
        <w:pStyle w:val="Heading3"/>
      </w:pPr>
      <w:r>
        <w:t>The premier bowl role</w:t>
      </w:r>
    </w:p>
    <w:p>
      <w:r>
        <w:t>The third weekend of December becomes one concentrated destination round. The bracket creates six seeded Round-of-12 slots before venues are attached. Rose, Sugar, Orange, Cotton, Peach, and Fiesta then advance one slot per year through a published six-year matrix; the broadcast window travels with the slot. The map is locked before Week 0, so no one can give a preferred bowl a better matchup after seeing the teams. After six seasons, the entire site package faces a competitive standards review rather than automatic renewal.</w:t>
      </w:r>
    </w:p>
    <w:p>
      <w:pPr>
        <w:pStyle w:val="Heading3"/>
      </w:pPr>
      <w:r>
        <w:t>A regular-season future for event operators</w:t>
      </w:r>
    </w:p>
    <w:p>
      <w:r>
        <w:t>Bowl organizations outside the premier group can create Week 0, Week 1, and September intersectional showcases, including selected neutral-site challenge games. Their expertise in tourism, sponsorship, hospitality, and local operations remains valuable beyond late-December inventory.</w:t>
      </w:r>
    </w:p>
    <w:p>
      <w:pPr>
        <w:pStyle w:val="Heading3"/>
      </w:pPr>
      <w:r>
        <w:t>Fewer invitations, clearer meaning</w:t>
      </w:r>
    </w:p>
    <w:p>
      <w:r>
        <w:t>The structure produces roughly 50–58 postseason participants rather than manufacturing enough games for nearly every .500 team. Fewer bowls can strengthen the reward-trip identity while the two tournaments supply the elimination stakes.</w:t>
      </w:r>
    </w:p>
    <w:p>
      <w:pPr>
        <w:pStyle w:val="Heading3"/>
      </w:pPr>
      <w:r>
        <w:t>Test the bowls in their proposed role</w:t>
      </w:r>
    </w:p>
    <w:p>
      <w:r>
        <w:t>A dedicated Round-of-12 weekend gives the six bowls a clear competitive role, but their earlier dates and different matchups need a new commercial case. Evaluate each operator's settlement, school receipts, sponsorship, hospitality, attendance and local public-service costs against the existing event. Regional visitor spending is not operator profit or money available to fund athlete services. Price and fund contract transition obligations before replacing existing inventory.</w:t>
      </w:r>
    </w:p>
    <w:p>
      <w:pPr>
        <w:pStyle w:val="Heading2"/>
      </w:pPr>
      <w:r>
        <w:t>Decisions already made</w:t>
      </w:r>
    </w:p>
    <w:p>
      <w:pPr>
        <w:pStyle w:val="Heading3"/>
      </w:pPr>
      <w:r>
        <w:t>What eligibility standard keeps traditional bowls selective without making invitations arbitrary?</w:t>
      </w:r>
    </w:p>
    <w:p>
      <w:r>
        <w:t>A team must finish at least .500 in countable regular-season games. When inventory exceeds eligible teams, invitations follow a published order based on wins, résumé rank, and declared availability rather than ad hoc waivers.</w:t>
      </w:r>
    </w:p>
    <w:p>
      <w:pPr>
        <w:pStyle w:val="Heading3"/>
      </w:pPr>
      <w:r>
        <w:t>How should existing contracts be transitioned without creating uncompensated losses?</w:t>
      </w:r>
    </w:p>
    <w:p>
      <w:r>
        <w:t>Use a phased contract cycle: honor existing obligations where compatible, negotiate buyouts or equivalent replacement inventory where they are not, and make the permanent bowl structure effective only after the transition schedule is public and funded.</w:t>
      </w:r>
    </w:p>
    <w:p>
      <w:pPr>
        <w:pStyle w:val="Heading2"/>
      </w:pPr>
      <w:r>
        <w:t>Safeguards</w:t>
      </w:r>
    </w:p>
    <w:p>
      <w:pPr>
        <w:pStyle w:val="ListBullet"/>
        <w:keepLines/>
      </w:pPr>
      <w:r>
        <w:t>Traditional bowl participation remains voluntary and cannot interfere with either tournament.</w:t>
      </w:r>
    </w:p>
    <w:p>
      <w:pPr>
        <w:pStyle w:val="ListBullet"/>
        <w:keepLines/>
      </w:pPr>
      <w:r>
        <w:t>The full six-year slot matrix and each season’s dates are published before Week 0; no post-selection venue swaps are allowed.</w:t>
      </w:r>
    </w:p>
    <w:p>
      <w:pPr>
        <w:pStyle w:val="ListBullet"/>
        <w:keepLines/>
      </w:pPr>
      <w:r>
        <w:t>New regular-season events must not erase campus home-game equity across scheduling cycles.</w:t>
      </w:r>
    </w:p>
    <w:p>
      <w:pPr>
        <w:pStyle w:val="Heading2"/>
      </w:pPr>
      <w:r>
        <w:t>Validation status</w:t>
      </w:r>
    </w:p>
    <w:p>
      <w:r>
        <w:t>The policy choice is stated here. Legal, financial, operational, and stakeholder validation still runs through the public launch gates.</w:t>
      </w:r>
    </w:p>
    <w:p>
      <w:pPr>
        <w:pStyle w:val="DocumentLink"/>
      </w:pPr>
      <w:r>
        <w:rPr>
          <w:b/>
        </w:rPr>
        <w:t xml:space="preserve">ONLINE PATHS  </w:t>
      </w:r>
      <w:r>
        <w:t>Complete proposal chapter: bettercollegefootball.com/proposal/full#bowl-ecosystem</w:t>
        <w:br/>
      </w:r>
      <w:r>
        <w:t>Two-minute brief: bettercollegefootball.com/proposal/bowl-ecosystem</w:t>
        <w:br/>
      </w:r>
      <w:r>
        <w:t>Evidence and validation: bettercollegefootball.com/evidence</w:t>
      </w:r>
    </w:p>
    <w:p>
      <w:pPr>
        <w:pStyle w:val="Heading1"/>
        <w:pageBreakBefore/>
      </w:pPr>
      <w:r>
        <w:t>07  The National Tournament</w:t>
      </w:r>
    </w:p>
    <w:p>
      <w:pPr>
        <w:pStyle w:val="SectionLabel"/>
        <w:spacing w:before="0"/>
      </w:pPr>
      <w:r>
        <w:t>THE GAME  ·  CHAPTER 07</w:t>
      </w:r>
    </w:p>
    <w:p>
      <w:pPr>
        <w:spacing w:after="200"/>
      </w:pPr>
      <w:r>
        <w:rPr>
          <w:b/>
          <w:sz w:val="24"/>
        </w:rPr>
        <w:t>Many institutions need a realistic national objective below the CFP without being removed from FBS. The National Tournament creates that objective while keeping CFP access open and refusing to become a consolation bracket for eliminated CFP teams.</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16</w:t>
            </w:r>
            <w:r>
              <w:br/>
            </w:r>
            <w:r>
              <w:rPr>
                <w:b/>
                <w:color w:val="5D6B75"/>
                <w:sz w:val="14"/>
              </w:rPr>
              <w:t>ELIGIBLE TEAMS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0</w:t>
            </w:r>
            <w:r>
              <w:br/>
            </w:r>
            <w:r>
              <w:rPr>
                <w:b/>
                <w:color w:val="5D6B75"/>
                <w:sz w:val="14"/>
              </w:rPr>
              <w:t>POWER FOUR TEAMS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3</w:t>
            </w:r>
            <w:r>
              <w:br/>
            </w:r>
            <w:r>
              <w:rPr>
                <w:b/>
                <w:color w:val="5D6B75"/>
                <w:sz w:val="14"/>
              </w:rPr>
              <w:t>CAMPUS ROUNDS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Tue/Wed</w:t>
            </w:r>
            <w:r>
              <w:br/>
            </w:r>
            <w:r>
              <w:rPr>
                <w:b/>
                <w:color w:val="5D6B75"/>
                <w:sz w:val="14"/>
              </w:rPr>
              <w:t>PROTECTED WINDOW</w:t>
            </w:r>
          </w:p>
        </w:tc>
      </w:tr>
    </w:tbl>
    <w:p>
      <w:pPr>
        <w:pStyle w:val="Heading2"/>
      </w:pPr>
      <w:r>
        <w:t>Current recommendation</w:t>
      </w:r>
    </w:p>
    <w:p>
      <w:pPr>
        <w:pStyle w:val="Decision"/>
      </w:pPr>
      <w:r>
        <w:t>Create a separate 16-team FBS National Tournament for eligible non-Power Four teams outside the CFP, with automatic champion access, campus rounds, and a distinct neutral-site final.</w:t>
      </w:r>
    </w:p>
    <w:p>
      <w:pPr>
        <w:pStyle w:val="Heading2"/>
      </w:pPr>
      <w:r>
        <w:t>Why change is needed</w:t>
      </w:r>
    </w:p>
    <w:p>
      <w:r>
        <w:t>Most non-Power Four programs have a technical CFP path but rarely a realistic national postseason objective. A second title can add meaningful access without removing those teams from FBS or closing the CFP.</w:t>
      </w:r>
    </w:p>
    <w:p>
      <w:pPr>
        <w:pStyle w:val="Heading2"/>
      </w:pPr>
      <w:r>
        <w:t>Recommendation at a glance</w:t>
      </w:r>
    </w:p>
    <w:p>
      <w:pPr>
        <w:pStyle w:val="ListBullet"/>
        <w:keepLines/>
      </w:pPr>
      <w:r>
        <w:t>Every eligible non-Power Four conference champion outside the CFP receives a bid and a home opener.</w:t>
      </w:r>
    </w:p>
    <w:p>
      <w:pPr>
        <w:pStyle w:val="ListBullet"/>
        <w:keepLines/>
      </w:pPr>
      <w:r>
        <w:t>At-large selections use the same underlying résumé order, and CFP teams cannot drop into the tournament after losing.</w:t>
      </w:r>
    </w:p>
    <w:p>
      <w:pPr>
        <w:pStyle w:val="ListBullet"/>
        <w:keepLines/>
      </w:pPr>
      <w:r>
        <w:t>The first three rounds use higher-seed campuses; the championship rotates among right-sized neutral sites selected in advance.</w:t>
      </w:r>
    </w:p>
    <w:p>
      <w:pPr>
        <w:pStyle w:val="Heading2"/>
      </w:pPr>
      <w:r>
        <w:t>Why this approach</w:t>
      </w:r>
    </w:p>
    <w:p>
      <w:r>
        <w:t>The event creates games with stakes, campus value, and a record-book identity while remaining clearly below—and separate from—the CFP national championship.</w:t>
      </w:r>
    </w:p>
    <w:p>
      <w:pPr>
        <w:pStyle w:val="SectionLabel"/>
        <w:spacing w:before="160"/>
      </w:pPr>
      <w:r>
        <w:t>THE TRADEOFF</w:t>
      </w:r>
    </w:p>
    <w:p>
      <w:pPr>
        <w:spacing w:after="160"/>
      </w:pPr>
      <w:r>
        <w:t>A second title succeeds only if athletes, schools, fans, and media treat it as a genuine objective rather than a consolation bracket. Travel, cost, timing, and opt-out behavior require testing.</w:t>
      </w:r>
    </w:p>
    <w:p>
      <w:pPr>
        <w:pStyle w:val="SectionLabel"/>
        <w:spacing w:before="160"/>
      </w:pPr>
      <w:r>
        <w:t>IN PRACTICE</w:t>
      </w:r>
    </w:p>
    <w:p>
      <w:pPr>
        <w:spacing w:after="160"/>
      </w:pPr>
      <w:r>
        <w:t>A conference champion left outside the CFP hosts its opener and can win a national tournament title; a Power Four team or a team eliminated from the CFP is never added to the field.</w:t>
      </w:r>
    </w:p>
    <w:p>
      <w:pPr>
        <w:pStyle w:val="Heading2"/>
      </w:pPr>
      <w:r>
        <w:t>The proposed rule</w:t>
      </w:r>
    </w:p>
    <w:p>
      <w:pPr>
        <w:pStyle w:val="ListBullet"/>
        <w:keepLines/>
      </w:pPr>
      <w:r>
        <w:t>No Power Four member is eligible, regardless of record, ranking, or conference finish.</w:t>
      </w:r>
    </w:p>
    <w:p>
      <w:pPr>
        <w:pStyle w:val="ListBullet"/>
        <w:keepLines/>
      </w:pPr>
      <w:r>
        <w:t>Every eligible non-Power Four conference champion outside the CFP receives a bid and a home opener.</w:t>
      </w:r>
    </w:p>
    <w:p>
      <w:pPr>
        <w:pStyle w:val="ListBullet"/>
        <w:keepLines/>
      </w:pPr>
      <w:r>
        <w:t>At-large positions follow the same final underlying résumé order used in CFP consideration.</w:t>
      </w:r>
    </w:p>
    <w:p>
      <w:pPr>
        <w:pStyle w:val="ListBullet"/>
        <w:keepLines/>
      </w:pPr>
      <w:r>
        <w:t>The tournament reseeds after the round of 16 and quarterfinals; the higher underlying seed hosts the first three rounds, and the championship moves to a rotating neutral site selected at least two years ahead.</w:t>
      </w:r>
    </w:p>
    <w:p>
      <w:pPr>
        <w:pStyle w:val="ListBullet"/>
        <w:keepLines/>
      </w:pPr>
      <w:r>
        <w:t>A team selected for the CFP cannot transfer into this event after a CFP loss.</w:t>
      </w:r>
    </w:p>
    <w:p>
      <w:pPr>
        <w:pStyle w:val="Heading2"/>
      </w:pPr>
      <w:r>
        <w:t>How the chapter works</w:t>
      </w:r>
    </w:p>
    <w:p>
      <w:pPr>
        <w:pStyle w:val="Heading3"/>
      </w:pPr>
      <w:r>
        <w:t>Eligibility and selection</w:t>
      </w:r>
    </w:p>
    <w:p>
      <w:r>
        <w:t>The field consists only of eligible FBS institutions outside the Power Four that were not selected for the CFP. At-large candidates ordinarily need seven wins and an overall winning record; an eligible conference champion is exempt from the seven-win threshold. Independents can earn at-large bids but not champion automatic bids.</w:t>
      </w:r>
    </w:p>
    <w:p>
      <w:pPr>
        <w:pStyle w:val="Heading3"/>
      </w:pPr>
      <w:r>
        <w:t>Seeding and campus hosting</w:t>
      </w:r>
    </w:p>
    <w:p>
      <w:r>
        <w:t>Teams are seeded 1–16 by the final underlying résumé ranking. Champions are guaranteed a first-round home game; remaining host positions go to the highest seeds. If a champion moves into a host position, its underlying seed remains visible and still controls later reseeding.</w:t>
      </w:r>
    </w:p>
    <w:p>
      <w:pPr>
        <w:pStyle w:val="Heading3"/>
      </w:pPr>
      <w:r>
        <w:t>CFP priority without punishing success</w:t>
      </w:r>
    </w:p>
    <w:p>
      <w:r>
        <w:t>CFP selection is the higher opportunity and cannot be declined in favor of the tournament. An outside-the-Power-Four CFP qualifier receives at least the tournament participant distribution plus its CFP distribution, formal qualifier recognition, and the next season’s prime interconference-challenge invitation. A first-game loss does not retroactively make selection a mistake.</w:t>
      </w:r>
    </w:p>
    <w:p>
      <w:pPr>
        <w:pStyle w:val="Heading3"/>
      </w:pPr>
      <w:r>
        <w:t>A distinct media window and title</w:t>
      </w:r>
    </w:p>
    <w:p>
      <w:r>
        <w:t>The event owns Tuesday and Wednesday nights while the CFP owns Friday and Saturday. The first three rounds are campus-hosted and separated by a holiday pause. The Tuesday-night championship before CFP title weekend rotates among right-sized neutral sites selected at least two years in advance. This keeps the early rounds local, gives the final its own destination identity, and lets teams and supporters plan before the field is known. The champion receives a distinct FBS records designation, trophy, advancement revenue, and a showcase invitation—but no automatic CFP berth the next year.</w:t>
      </w:r>
    </w:p>
    <w:p>
      <w:pPr>
        <w:pStyle w:val="Heading3"/>
      </w:pPr>
      <w:r>
        <w:t>Give the second tournament a funded operating floor</w:t>
      </w:r>
    </w:p>
    <w:p>
      <w:r>
        <w:t>The 16-team National Tournament adds 15 games and must be included alongside the CFP in the 32-game tournament budget. Test a right-sized neutral final, campus hosting and every team's travel and access commitments using the tournament's own demand assumptions. Do not borrow a CFP audience or payout to price this competition. Identify its protected operating floor, payment dates and shortfall owner before offering participation; the allocation remains unagreed until independently reviewed.</w:t>
      </w:r>
    </w:p>
    <w:p>
      <w:pPr>
        <w:pStyle w:val="Heading2"/>
      </w:pPr>
      <w:r>
        <w:t>Decisions already made</w:t>
      </w:r>
    </w:p>
    <w:p>
      <w:pPr>
        <w:pStyle w:val="Heading3"/>
      </w:pPr>
      <w:r>
        <w:t>What name and trophy would give the championship genuine identity without overstating its place?</w:t>
      </w:r>
    </w:p>
    <w:p>
      <w:r>
        <w:t>The working public name is the National Tournament, with a distinct National Tournament Championship trophy and record-book designation. It is an FBS postseason title, not the CFP national championship and not a consolation bracket for CFP losses.</w:t>
      </w:r>
    </w:p>
    <w:p>
      <w:pPr>
        <w:pStyle w:val="Heading3"/>
      </w:pPr>
      <w:r>
        <w:t>Where should the National Tournament Championship be played?</w:t>
      </w:r>
    </w:p>
    <w:p>
      <w:r>
        <w:t>At a rotating neutral site selected at least two years in advance. The first three rounds retain campus hosting, while the final becomes a distinct destination championship. Bid standards favor an indoor or weather-resilient venue, affordable travel inventory, a market separate from that season’s CFP title site, and a right-sized lower-bowl plan so the event does not depend on pretending every seat will sell.</w:t>
      </w:r>
    </w:p>
    <w:p>
      <w:pPr>
        <w:pStyle w:val="Heading2"/>
      </w:pPr>
      <w:r>
        <w:t>Safeguards</w:t>
      </w:r>
    </w:p>
    <w:p>
      <w:pPr>
        <w:pStyle w:val="ListBullet"/>
        <w:keepLines/>
      </w:pPr>
      <w:r>
        <w:t>The field and replacement order are final when announced; no mid-event CFP transfers occur.</w:t>
      </w:r>
    </w:p>
    <w:p>
      <w:pPr>
        <w:pStyle w:val="ListBullet"/>
        <w:keepLines/>
      </w:pPr>
      <w:r>
        <w:t>Host standards cover field condition, replay, medicine, security, tickets, and broadcast connectivity.</w:t>
      </w:r>
    </w:p>
    <w:p>
      <w:pPr>
        <w:pStyle w:val="ListBullet"/>
        <w:keepLines/>
      </w:pPr>
      <w:r>
        <w:t>The first three rounds use objective campus standards for field condition, safety, accessibility, lodging, travel, replay, medicine, security, tickets, and broadcast connectivity.</w:t>
      </w:r>
    </w:p>
    <w:p>
      <w:pPr>
        <w:pStyle w:val="ListBullet"/>
        <w:keepLines/>
      </w:pPr>
      <w:r>
        <w:t>The event’s name, trophy, records, and distributions remain clearly distinct from the CFP championship.</w:t>
      </w:r>
    </w:p>
    <w:p>
      <w:pPr>
        <w:pStyle w:val="Heading2"/>
      </w:pPr>
      <w:r>
        <w:t>Questions reserved for validation</w:t>
      </w:r>
    </w:p>
    <w:p>
      <w:pPr>
        <w:pStyle w:val="ListBullet"/>
        <w:keepLines/>
      </w:pPr>
      <w:r>
        <w:t>Can protected weeknight inventory produce enough value to fund travel, hosting, and meaningful distributions?</w:t>
      </w:r>
    </w:p>
    <w:p>
      <w:pPr>
        <w:pStyle w:val="ListBullet"/>
        <w:keepLines/>
      </w:pPr>
      <w:r>
        <w:t>What exact rest interval should govern champions playing immediately after conference-title weekend?</w:t>
      </w:r>
    </w:p>
    <w:p>
      <w:pPr>
        <w:pStyle w:val="DocumentLink"/>
      </w:pPr>
      <w:r>
        <w:rPr>
          <w:b/>
        </w:rPr>
        <w:t xml:space="preserve">ONLINE PATHS  </w:t>
      </w:r>
      <w:r>
        <w:t>Complete proposal chapter: bettercollegefootball.com/proposal/full#national-tournament</w:t>
        <w:br/>
      </w:r>
      <w:r>
        <w:t>Two-minute brief: bettercollegefootball.com/proposal/national-tournament</w:t>
        <w:br/>
      </w:r>
      <w:r>
        <w:t>Evidence and validation: bettercollegefootball.com/evidence</w:t>
      </w:r>
    </w:p>
    <w:p>
      <w:pPr>
        <w:pStyle w:val="Heading1"/>
        <w:pageBreakBefore/>
      </w:pPr>
      <w:r>
        <w:t>08  A National Calendar That Protects the Season</w:t>
      </w:r>
    </w:p>
    <w:p>
      <w:pPr>
        <w:pStyle w:val="SectionLabel"/>
        <w:spacing w:before="0"/>
      </w:pPr>
      <w:r>
        <w:t>THE GAME  ·  CHAPTER 08</w:t>
      </w:r>
    </w:p>
    <w:p>
      <w:pPr>
        <w:spacing w:after="200"/>
      </w:pPr>
      <w:r>
        <w:rPr>
          <w:b/>
          <w:sz w:val="24"/>
        </w:rPr>
        <w:t>The postseason calendar should feel like one championship run rather than a collection of gaps, travel burdens, and competing roster-market events. Every week receives a clear purpose.</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14</w:t>
            </w:r>
            <w:r>
              <w:br/>
            </w:r>
            <w:r>
              <w:rPr>
                <w:b/>
                <w:color w:val="5D6B75"/>
                <w:sz w:val="14"/>
              </w:rPr>
              <w:t>REGULAR-SEASON WEEKS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1</w:t>
            </w:r>
            <w:r>
              <w:br/>
            </w:r>
            <w:r>
              <w:rPr>
                <w:b/>
                <w:color w:val="5D6B75"/>
                <w:sz w:val="14"/>
              </w:rPr>
              <w:t>CHRISTMAS PAUSE</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Campus</w:t>
            </w:r>
            <w:r>
              <w:br/>
            </w:r>
            <w:r>
              <w:rPr>
                <w:b/>
                <w:color w:val="5D6B75"/>
                <w:sz w:val="14"/>
              </w:rPr>
              <w:t>JANUARY PRIORITY</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Sat. night</w:t>
            </w:r>
            <w:r>
              <w:br/>
            </w:r>
            <w:r>
              <w:rPr>
                <w:b/>
                <w:color w:val="5D6B75"/>
                <w:sz w:val="14"/>
              </w:rPr>
              <w:t>TITLE TARGET</w:t>
            </w:r>
          </w:p>
        </w:tc>
      </w:tr>
    </w:tbl>
    <w:p>
      <w:pPr>
        <w:pStyle w:val="Heading2"/>
      </w:pPr>
      <w:r>
        <w:t>Current recommendation</w:t>
      </w:r>
    </w:p>
    <w:p>
      <w:pPr>
        <w:pStyle w:val="Decision"/>
      </w:pPr>
      <w:r>
        <w:t>Give the postseason a clear sequence, include a Christmas no-game pause, return January rounds to certified campuses, and negotiate a Saturday-night neutral championship. Time-off protections and broadcast windows still need agreement.</w:t>
      </w:r>
    </w:p>
    <w:p>
      <w:pPr>
        <w:pStyle w:val="Heading2"/>
      </w:pPr>
      <w:r>
        <w:t>Why change is needed</w:t>
      </w:r>
    </w:p>
    <w:p>
      <w:r>
        <w:t>Long gaps, scattered bowls, roster movement, coaching changes, and NFL conflicts make the championship feel detached from the regular season and force athletes to prepare while their teams are being rebuilt.</w:t>
      </w:r>
    </w:p>
    <w:p>
      <w:pPr>
        <w:pStyle w:val="Heading2"/>
      </w:pPr>
      <w:r>
        <w:t>Recommendation at a glance</w:t>
      </w:r>
    </w:p>
    <w:p>
      <w:pPr>
        <w:pStyle w:val="ListBullet"/>
        <w:keepLines/>
      </w:pPr>
      <w:r>
        <w:t>Rivalry week, conference championships, the Campus Opening Round, and CFP Bowl Weekend run on consecutive weekends.</w:t>
      </w:r>
    </w:p>
    <w:p>
      <w:pPr>
        <w:pStyle w:val="ListBullet"/>
        <w:keepLines/>
      </w:pPr>
      <w:r>
        <w:t>December 23–30 has no tournament games. Time off, practice limits, and travel protections need a separate agreement; players are not automatically free for the whole window.</w:t>
      </w:r>
    </w:p>
    <w:p>
      <w:pPr>
        <w:pStyle w:val="ListBullet"/>
        <w:keepLines/>
      </w:pPr>
      <w:r>
        <w:t>Later rounds use certified campuses, even where winter break continues. The Saturday-night title is a negotiated target, with a mutually cleared alternative if agreement is not reached.</w:t>
      </w:r>
    </w:p>
    <w:p>
      <w:pPr>
        <w:pStyle w:val="Heading2"/>
      </w:pPr>
      <w:r>
        <w:t>Why this approach</w:t>
      </w:r>
    </w:p>
    <w:p>
      <w:r>
        <w:t>Bowls get a concentrated round; later campus games reward stronger surviving résumés and reduce repeated destination trips for their fans. A neutral final treats both finalists alike. Roster, coaching, and professional deadlines must fit that sequence.</w:t>
      </w:r>
    </w:p>
    <w:p>
      <w:pPr>
        <w:pStyle w:val="SectionLabel"/>
        <w:spacing w:before="160"/>
      </w:pPr>
      <w:r>
        <w:t>THE TRADEOFF</w:t>
      </w:r>
    </w:p>
    <w:p>
      <w:pPr>
        <w:spacing w:after="160"/>
      </w:pPr>
      <w:r>
        <w:t>Double-bye teams may wait three or four weeks, while the longest path adds substantial workload. Rest, rust, academics, weather, travel, and NFL cooperation all remain genuine constraints.</w:t>
      </w:r>
    </w:p>
    <w:p>
      <w:pPr>
        <w:pStyle w:val="SectionLabel"/>
        <w:spacing w:before="160"/>
      </w:pPr>
      <w:r>
        <w:t>IN PRACTICE</w:t>
      </w:r>
    </w:p>
    <w:p>
      <w:pPr>
        <w:spacing w:after="160"/>
      </w:pPr>
      <w:r>
        <w:t>A higher-ranked semifinalist activates a hosting plan prepared before selection. If students are still on break, the school needs a workable housing, ticket, and transport plan—not an assumption that the campus is already full.</w:t>
      </w:r>
    </w:p>
    <w:p>
      <w:pPr>
        <w:pStyle w:val="Heading2"/>
      </w:pPr>
      <w:r>
        <w:t>The proposed rule</w:t>
      </w:r>
    </w:p>
    <w:p>
      <w:pPr>
        <w:pStyle w:val="ListBullet"/>
        <w:keepLines/>
      </w:pPr>
      <w:r>
        <w:t>Rivalry games conclude the regular season on Thanksgiving weekend.</w:t>
      </w:r>
    </w:p>
    <w:p>
      <w:pPr>
        <w:pStyle w:val="ListBullet"/>
        <w:keepLines/>
      </w:pPr>
      <w:r>
        <w:t>Conference championships, the Campus Opening Round, and CFP Bowl Weekend follow on consecutive weekends.</w:t>
      </w:r>
    </w:p>
    <w:p>
      <w:pPr>
        <w:pStyle w:val="ListBullet"/>
        <w:keepLines/>
      </w:pPr>
      <w:r>
        <w:t>The proposed December 23–30 pause contains no CFP or National Tournament games; practice, travel, and time-off protections must be agreed separately.</w:t>
      </w:r>
    </w:p>
    <w:p>
      <w:pPr>
        <w:pStyle w:val="ListBullet"/>
        <w:keepLines/>
      </w:pPr>
      <w:r>
        <w:t>Quarterfinals and semifinals are played on qualifying campuses after the holiday pause.</w:t>
      </w:r>
    </w:p>
    <w:p>
      <w:pPr>
        <w:pStyle w:val="ListBullet"/>
        <w:keepLines/>
      </w:pPr>
      <w:r>
        <w:t>The season ends with a neutral-site championship. Saturday primetime on NFL Wild Card Weekend is the preferred negotiated target, not a secured window; a mutually cleared alternative is required if it cannot be agreed.</w:t>
      </w:r>
    </w:p>
    <w:p>
      <w:pPr>
        <w:pStyle w:val="ListBullet"/>
        <w:keepLines/>
      </w:pPr>
      <w:r>
        <w:t>CFP and NFL postseason windows, draft deadlines, advisory dates, and combine obligations are coordinated and published together before each season.</w:t>
      </w:r>
    </w:p>
    <w:p>
      <w:pPr>
        <w:pStyle w:val="Heading2"/>
      </w:pPr>
      <w:r>
        <w:t>How the chapter works</w:t>
      </w:r>
    </w:p>
    <w:p>
      <w:pPr>
        <w:pStyle w:val="Heading3"/>
      </w:pPr>
      <w:r>
        <w:t>A continuous championship rhythm</w:t>
      </w:r>
    </w:p>
    <w:p>
      <w:r>
        <w:t>The proposed flow gives each stage a defined purpose: rivalry weekend, conference championships, the Campus Opening Round, CFP Bowl Weekend, the Christmas No-Game Pause, Campus Quarterfinals, Campus Semifinals, and the neutral National Championship. It does not eliminate every long layoff: a protected-bye team can still wait roughly three or four weeks after its conference title game, and that tradeoff requires testing.</w:t>
      </w:r>
    </w:p>
    <w:p>
      <w:pPr>
        <w:pStyle w:val="Heading3"/>
      </w:pPr>
      <w:r>
        <w:t>Why the site changes with the calendar</w:t>
      </w:r>
    </w:p>
    <w:p>
      <w:r>
        <w:t>The bowl round gives the premier bowls one concentrated championship role. Later campus rounds reward the higher-ranked survivors and limit repeated neutral-site trips for their supporters; the final stays neutral so neither finalist receives home-field advantage. This is a deliberate tradeoff, not the simplest travel sequence. Away teams still travel, and an early-January game does not mean students are back. Each host must plan around its own academic calendar and demonstrate student access during winter break.</w:t>
      </w:r>
    </w:p>
    <w:p>
      <w:pPr>
        <w:pStyle w:val="Heading3"/>
      </w:pPr>
      <w:r>
        <w:t>Workload and recovery</w:t>
      </w:r>
    </w:p>
    <w:p>
      <w:r>
        <w:t>The longest theoretical path is 18 games: 12 regular-season games, a conference championship, and five CFP games. Only a conference finalist starting in Round 1 can reach it. A double-bye conference finalist would play 15 total games. December 23–30 is a proposed no-game window, not a promise of eight days away from football or a trip home for every player. Before adoption, athlete representatives and medical and operations staff must settle limits on required activity, protected time off, travel, and access to care, meals, and housing. A December 31 quarterfinal makes those details particularly important.</w:t>
      </w:r>
    </w:p>
    <w:p>
      <w:pPr>
        <w:pStyle w:val="Heading3"/>
      </w:pPr>
      <w:r>
        <w:t>The bye tradeoff</w:t>
      </w:r>
    </w:p>
    <w:p>
      <w:r>
        <w:t>A double bye is supposed to reward an elite regular season, but a conference-title participant could go roughly three or four weeks without a game before the quarterfinal. That may support physical recovery while also creating rust and a different competitive rhythm from teams advancing weekly. The proposal does not claim a settled fix; schedule compression, controlled practice standards, and historical outcome testing should be evaluated without forcing a team to surrender an earned bye.</w:t>
      </w:r>
    </w:p>
    <w:p>
      <w:pPr>
        <w:pStyle w:val="Heading3"/>
      </w:pPr>
      <w:r>
        <w:t>One calendar beyond the games</w:t>
      </w:r>
    </w:p>
    <w:p>
      <w:r>
        <w:t>The national roster freeze and recruiting dead period are designed around the same championship window. The calendar succeeds only if transfer entry, formal signing, and formal FBS-to-FBS coaching movement do not compete with preparation.</w:t>
      </w:r>
    </w:p>
    <w:p>
      <w:pPr>
        <w:pStyle w:val="Heading3"/>
      </w:pPr>
      <w:r>
        <w:t>The shared operating year</w:t>
      </w:r>
    </w:p>
    <w:p>
      <w:r>
        <w:t>The college and professional calendars should be published as one coordinated record by May 1. Before the season, athletes receive one status guide covering representation, insurance, medical-data consent, draft exploration, evaluation, withdrawal, and professional commitment. During December, no active finalist should face a portal, draft, combine, or contract deadline that forces a decision while the team is still competing. After the title, the systems run the championship handoff, professional evaluation, player movement, roster certification, and spring workload in the published order. The following May audit records deviations, athlete-status disputes, consent failures, corrective action, dissents, and the recommendation for the next compact year.</w:t>
      </w:r>
    </w:p>
    <w:p>
      <w:pPr>
        <w:pStyle w:val="Heading3"/>
      </w:pPr>
      <w:r>
        <w:t>The Saturday-night championship target</w:t>
      </w:r>
    </w:p>
    <w:p>
      <w:r>
        <w:t>The proposed College Football–NFL Coordination Compact targets Saturday primetime during NFL Wild Card Weekend for the college national championship. Earlier NFL Saturday games and its Sunday and Monday windows are a bargaining scenario, not reserved inventory. The CFP, NFL, rights holders, hosts, and relevant athlete representatives must agree to any change within their authority. If that target cannot be secured, the compact offers a mutually cleared Friday or other standalone night as a bridge. Audit every postseason round for overlap, including January semifinals; the proposal cannot guarantee an NFL-free window by itself.</w:t>
      </w:r>
    </w:p>
    <w:p>
      <w:pPr>
        <w:pStyle w:val="Heading3"/>
      </w:pPr>
      <w:r>
        <w:t>Clear the windows and the cash deadlines</w:t>
      </w:r>
    </w:p>
    <w:p>
      <w:r>
        <w:t>A proposed date is not a secured broadcast window or an additional rights payment. Evaluate competing programming, production capacity, displaced inventory and negotiated fallbacks before estimating incremental retained value. Map travel deposits, hosting work and access payments against receipt dates for each responsible entity. A positive annual budget cannot excuse a cash shortage before a game, and a television preference cannot waive recovery or academic protections.</w:t>
      </w:r>
    </w:p>
    <w:p>
      <w:pPr>
        <w:pStyle w:val="Heading2"/>
      </w:pPr>
      <w:r>
        <w:t>Decisions already made</w:t>
      </w:r>
    </w:p>
    <w:p>
      <w:pPr>
        <w:pStyle w:val="Heading3"/>
      </w:pPr>
      <w:r>
        <w:t>How should the calendar adjust in years when holidays fall on difficult broadcast days?</w:t>
      </w:r>
    </w:p>
    <w:p>
      <w:r>
        <w:t>The game sequence may move within the published week, but minimum recovery and academic protection cannot be waived for a television preference. Saturday night remains the championship objective, with the compact’s mutually cleared alternative used if agreement is not reached. Publish exact dates, unresolved conflicts, and any fallback before Week 0; do not present a target as an approved window.</w:t>
      </w:r>
    </w:p>
    <w:p>
      <w:pPr>
        <w:pStyle w:val="Heading2"/>
      </w:pPr>
      <w:r>
        <w:t>Safeguards</w:t>
      </w:r>
    </w:p>
    <w:p>
      <w:pPr>
        <w:pStyle w:val="ListBullet"/>
        <w:keepLines/>
      </w:pPr>
      <w:r>
        <w:t>Minimum recovery periods govern exact annual dates, especially for conference champions.</w:t>
      </w:r>
    </w:p>
    <w:p>
      <w:pPr>
        <w:pStyle w:val="ListBullet"/>
        <w:keepLines/>
      </w:pPr>
      <w:r>
        <w:t>Medical, practice-load, academic, and travel standards accompany the competition calendar.</w:t>
      </w:r>
    </w:p>
    <w:p>
      <w:pPr>
        <w:pStyle w:val="ListBullet"/>
        <w:keepLines/>
      </w:pPr>
      <w:r>
        <w:t>A conference adding its own postseason round must reduce regular-season exposure.</w:t>
      </w:r>
    </w:p>
    <w:p>
      <w:pPr>
        <w:pStyle w:val="ListBullet"/>
        <w:keepLines/>
      </w:pPr>
      <w:r>
        <w:t>An annual public conflict audit reports unavoidable NFL overlap, rest effects, travel burdens, and any deviation from the protected-window agreement.</w:t>
      </w:r>
    </w:p>
    <w:p>
      <w:pPr>
        <w:pStyle w:val="Heading2"/>
      </w:pPr>
      <w:r>
        <w:t>Questions reserved for validation</w:t>
      </w:r>
    </w:p>
    <w:p>
      <w:pPr>
        <w:pStyle w:val="ListBullet"/>
        <w:keepLines/>
      </w:pPr>
      <w:r>
        <w:t>What is the minimum safe recovery interval for every possible tournament path?</w:t>
      </w:r>
    </w:p>
    <w:p>
      <w:pPr>
        <w:pStyle w:val="ListBullet"/>
        <w:keepLines/>
      </w:pPr>
      <w:r>
        <w:t>What is the maximum acceptable competitive layoff after a conference championship, and what remedy preserves the value of an earned bye?</w:t>
      </w:r>
    </w:p>
    <w:p>
      <w:pPr>
        <w:pStyle w:val="ListBullet"/>
        <w:keepLines/>
      </w:pPr>
      <w:r>
        <w:t>Which campuses can reliably satisfy January field, travel, and broadcast standards?</w:t>
      </w:r>
    </w:p>
    <w:p>
      <w:pPr>
        <w:pStyle w:val="ListBullet"/>
        <w:keepLines/>
      </w:pPr>
      <w:r>
        <w:t>Which media, venue, labor, and rights agreements are required to protect Saturday primetime on NFL Wild Card Weekend?</w:t>
      </w:r>
    </w:p>
    <w:p>
      <w:pPr>
        <w:pStyle w:val="DocumentLink"/>
      </w:pPr>
      <w:r>
        <w:rPr>
          <w:b/>
        </w:rPr>
        <w:t xml:space="preserve">ONLINE PATHS  </w:t>
      </w:r>
      <w:r>
        <w:t>Complete proposal chapter: bettercollegefootball.com/proposal/full#national-calendar</w:t>
        <w:br/>
      </w:r>
      <w:r>
        <w:t>Two-minute brief: bettercollegefootball.com/proposal/national-calendar</w:t>
        <w:br/>
      </w:r>
      <w:r>
        <w:t>Evidence and validation: bettercollegefootball.com/evidence</w:t>
      </w:r>
    </w:p>
    <w:p>
      <w:pPr>
        <w:pStyle w:val="Heading1"/>
        <w:pageBreakBefore/>
      </w:pPr>
      <w:r>
        <w:t>09  Athlete Rights and Reciprocal Responsibilities</w:t>
      </w:r>
    </w:p>
    <w:p>
      <w:pPr>
        <w:pStyle w:val="SectionLabel"/>
        <w:spacing w:before="0"/>
      </w:pPr>
      <w:r>
        <w:t>THE MARKET  ·  CHAPTER 09</w:t>
      </w:r>
    </w:p>
    <w:p>
      <w:pPr>
        <w:spacing w:after="200"/>
      </w:pPr>
      <w:r>
        <w:rPr>
          <w:b/>
          <w:sz w:val="24"/>
        </w:rPr>
        <w:t>A legitimate governing system cannot ask athletes to follow national rules without first publishing the rights the national system must honor. Freedom and accountability have to run in both directions.</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National</w:t>
            </w:r>
            <w:r>
              <w:br/>
            </w:r>
            <w:r>
              <w:rPr>
                <w:b/>
                <w:color w:val="5D6B75"/>
                <w:sz w:val="14"/>
              </w:rPr>
              <w:t>RIGHTS FLOOR</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Two-way</w:t>
            </w:r>
            <w:r>
              <w:br/>
            </w:r>
            <w:r>
              <w:rPr>
                <w:b/>
                <w:color w:val="5D6B75"/>
                <w:sz w:val="14"/>
              </w:rPr>
              <w:t>COMMITMENTS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Independent</w:t>
            </w:r>
            <w:r>
              <w:br/>
            </w:r>
            <w:r>
              <w:rPr>
                <w:b/>
                <w:color w:val="5D6B75"/>
                <w:sz w:val="14"/>
              </w:rPr>
              <w:t>REPRESENTATION</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Due process</w:t>
            </w:r>
            <w:r>
              <w:br/>
            </w:r>
            <w:r>
              <w:rPr>
                <w:b/>
                <w:color w:val="5D6B75"/>
                <w:sz w:val="14"/>
              </w:rPr>
              <w:t>BEFORE MAJOR DISCIPLINE</w:t>
            </w:r>
          </w:p>
        </w:tc>
      </w:tr>
    </w:tbl>
    <w:p>
      <w:pPr>
        <w:pStyle w:val="Heading2"/>
      </w:pPr>
      <w:r>
        <w:t>Current recommendation</w:t>
      </w:r>
    </w:p>
    <w:p>
      <w:pPr>
        <w:pStyle w:val="Decision"/>
      </w:pPr>
      <w:r>
        <w:t>Publish one national floor of athlete rights and pair it with one national statement of competitive responsibilities that follows the athlete across conferences.</w:t>
      </w:r>
    </w:p>
    <w:p>
      <w:pPr>
        <w:pStyle w:val="Heading2"/>
      </w:pPr>
      <w:r>
        <w:t>Why change is needed</w:t>
      </w:r>
    </w:p>
    <w:p>
      <w:r>
        <w:t>A governing system loses legitimacy when it can demand eligibility, disclosure, and integrity compliance without guaranteeing consistent health, academic, economic, privacy, representation, and appeal protections.</w:t>
      </w:r>
    </w:p>
    <w:p>
      <w:pPr>
        <w:pStyle w:val="Heading2"/>
      </w:pPr>
      <w:r>
        <w:t>Recommendation at a glance</w:t>
      </w:r>
    </w:p>
    <w:p>
      <w:pPr>
        <w:pStyle w:val="ListBullet"/>
        <w:keepLines/>
      </w:pPr>
      <w:r>
        <w:t>Every national agreement protects compensation, scholarship, education, medical care, insurance, data, privacy, and qualified advice.</w:t>
      </w:r>
    </w:p>
    <w:p>
      <w:pPr>
        <w:pStyle w:val="ListBullet"/>
        <w:keepLines/>
      </w:pPr>
      <w:r>
        <w:t>Major discipline requires notice, access to evidence, an opportunity to respond, a written decision, and an appeal.</w:t>
      </w:r>
    </w:p>
    <w:p>
      <w:pPr>
        <w:pStyle w:val="ListBullet"/>
        <w:keepLines/>
      </w:pPr>
      <w:r>
        <w:t>Athletes in turn honor valid agreements, eligibility rules, disclosures, gambling restrictions, anti-tampering rules, and competitive-integrity duties.</w:t>
      </w:r>
    </w:p>
    <w:p>
      <w:pPr>
        <w:pStyle w:val="Heading2"/>
      </w:pPr>
      <w:r>
        <w:t>Why this approach</w:t>
      </w:r>
    </w:p>
    <w:p>
      <w:r>
        <w:t>Rights and accountability become reciprocal rather than discretionary. A player’s protection cannot shrink after a conference change, and market power cannot erase a valid competitive duty.</w:t>
      </w:r>
    </w:p>
    <w:p>
      <w:pPr>
        <w:pStyle w:val="SectionLabel"/>
        <w:spacing w:before="160"/>
      </w:pPr>
      <w:r>
        <w:t>THE TRADEOFF</w:t>
      </w:r>
    </w:p>
    <w:p>
      <w:pPr>
        <w:spacing w:after="160"/>
      </w:pPr>
      <w:r>
        <w:t>A meaningful national floor costs money and may exceed what some schools currently provide. Those obligations must be funded before discretionary postseason distributions.</w:t>
      </w:r>
    </w:p>
    <w:p>
      <w:pPr>
        <w:pStyle w:val="SectionLabel"/>
        <w:spacing w:before="160"/>
      </w:pPr>
      <w:r>
        <w:t>IN PRACTICE</w:t>
      </w:r>
    </w:p>
    <w:p>
      <w:pPr>
        <w:spacing w:after="160"/>
      </w:pPr>
      <w:r>
        <w:t>A player facing a season-ending eligibility decision receives the evidence and an expedited appeal; the same player remains accountable for knowingly violating a gambling or tampering rule.</w:t>
      </w:r>
    </w:p>
    <w:p>
      <w:pPr>
        <w:pStyle w:val="Heading2"/>
      </w:pPr>
      <w:r>
        <w:t>The proposed rule</w:t>
      </w:r>
    </w:p>
    <w:p>
      <w:pPr>
        <w:pStyle w:val="ListBullet"/>
        <w:keepLines/>
      </w:pPr>
      <w:r>
        <w:t>Athletes retain the right to earn legitimate NIL income and receive direct institutional compensation where lawful.</w:t>
      </w:r>
    </w:p>
    <w:p>
      <w:pPr>
        <w:pStyle w:val="ListBullet"/>
        <w:keepLines/>
      </w:pPr>
      <w:r>
        <w:t>Athletes may obtain qualified legal, financial, tax, and agent representation without surrendering college eligibility.</w:t>
      </w:r>
    </w:p>
    <w:p>
      <w:pPr>
        <w:pStyle w:val="ListBullet"/>
        <w:keepLines/>
      </w:pPr>
      <w:r>
        <w:t>Scholarship, academic, medical, insurance, data, privacy, and injury protections appear in every national player agreement.</w:t>
      </w:r>
    </w:p>
    <w:p>
      <w:pPr>
        <w:pStyle w:val="ListBullet"/>
        <w:keepLines/>
      </w:pPr>
      <w:r>
        <w:t>Major discipline requires notice, access to the evidence, an opportunity to respond, a written decision, and an appeal.</w:t>
      </w:r>
    </w:p>
    <w:p>
      <w:pPr>
        <w:pStyle w:val="ListBullet"/>
        <w:keepLines/>
      </w:pPr>
      <w:r>
        <w:t>Athletes must comply with valid agreements, eligibility standards, gambling rules, required disclosures, anti-tampering rules, and competitive-integrity rules.</w:t>
      </w:r>
    </w:p>
    <w:p>
      <w:pPr>
        <w:pStyle w:val="ListBullet"/>
        <w:keepLines/>
      </w:pPr>
      <w:r>
        <w:t>Rights cannot vary merely because a player changes conferences; responsibilities cannot disappear merely because a player has market power.</w:t>
      </w:r>
    </w:p>
    <w:p>
      <w:pPr>
        <w:pStyle w:val="Heading2"/>
      </w:pPr>
      <w:r>
        <w:t>How the chapter works</w:t>
      </w:r>
    </w:p>
    <w:p>
      <w:pPr>
        <w:pStyle w:val="Heading3"/>
      </w:pPr>
      <w:r>
        <w:t>A national bill of rights</w:t>
      </w:r>
    </w:p>
    <w:p>
      <w:r>
        <w:t>The minimum floor includes compensation, representation, transparent agreements, continued education, appropriate medical care, injury protection, consent-based data use, reasonable mobility, notice of allegations, and independent appeal. Conferences and schools may provide more, but not less.</w:t>
      </w:r>
    </w:p>
    <w:p>
      <w:pPr>
        <w:pStyle w:val="Heading3"/>
      </w:pPr>
      <w:r>
        <w:t>What the floor must deliver</w:t>
      </w:r>
    </w:p>
    <w:p>
      <w:r>
        <w:t>The rights code must name the service, duration, responsible payer, decision deadline, and remedy for every protection. Medical and rehabilitation coverage cannot end merely because a roster decision changes. Academic completion support must state what remains available after eligibility. Insurance, travel, recovery, family assistance, independent advice, and data correction need funded procedures rather than aspirational language. An athlete denied a promised benefit receives a written reason and an expedited independent review.</w:t>
      </w:r>
    </w:p>
    <w:p>
      <w:pPr>
        <w:pStyle w:val="ListBullet"/>
        <w:keepLines/>
      </w:pPr>
      <w:r>
        <w:t>Health and injury terms identify coverage periods, return-to-play independence, second-opinion access, and responsibility for continuing care.</w:t>
      </w:r>
    </w:p>
    <w:p>
      <w:pPr>
        <w:pStyle w:val="ListBullet"/>
        <w:keepLines/>
      </w:pPr>
      <w:r>
        <w:t>Education terms identify scholarship continuation, credit-transfer review, degree-completion support, tutoring, and deadlines for academic decisions.</w:t>
      </w:r>
    </w:p>
    <w:p>
      <w:pPr>
        <w:pStyle w:val="ListBullet"/>
        <w:keepLines/>
      </w:pPr>
      <w:r>
        <w:t>Economic terms identify payment timing, deductions, tax disclosures, representation rights, and the treatment of compensation after injury or a roster change.</w:t>
      </w:r>
    </w:p>
    <w:p>
      <w:pPr>
        <w:pStyle w:val="ListBullet"/>
        <w:keepLines/>
      </w:pPr>
      <w:r>
        <w:t>Data terms identify what is collected, who may see it, why it is used, how long it is retained, and how the athlete can correct or revoke access where permitted.</w:t>
      </w:r>
    </w:p>
    <w:p>
      <w:pPr>
        <w:pStyle w:val="Heading3"/>
      </w:pPr>
      <w:r>
        <w:t>Reciprocal accountability</w:t>
      </w:r>
    </w:p>
    <w:p>
      <w:r>
        <w:t>Players receive economic freedom and mobility while accepting clear competitive duties. Schools receive roster-building freedom while honoring compensation, scholarship, medical, and academic promises. Coaches retain career mobility while honoring contracts and accepting personal penalties for misconduct.</w:t>
      </w:r>
    </w:p>
    <w:p>
      <w:pPr>
        <w:pStyle w:val="Heading3"/>
      </w:pPr>
      <w:r>
        <w:t>No ceremonial representation</w:t>
      </w:r>
    </w:p>
    <w:p>
      <w:r>
        <w:t>Athlete participation must carry actual voting, bargaining, or negotiated authority wherever a rule materially affects compensation, movement, workload, health, data, or eligibility. A listening session is not consent.</w:t>
      </w:r>
    </w:p>
    <w:p>
      <w:pPr>
        <w:pStyle w:val="Heading3"/>
      </w:pPr>
      <w:r>
        <w:t>Private information stays private</w:t>
      </w:r>
    </w:p>
    <w:p>
      <w:r>
        <w:t>National compliance can require confidential disclosure without turning every contract, medical record, tax document, or family circumstance into public data. Public reporting should use aggregates except when law, adjudication, or the athlete permits more.</w:t>
      </w:r>
    </w:p>
    <w:p>
      <w:pPr>
        <w:pStyle w:val="Heading3"/>
      </w:pPr>
      <w:r>
        <w:t>Make support usable before travel</w:t>
      </w:r>
    </w:p>
    <w:p>
      <w:r>
        <w:t>Cost medical and recovery services, independent advice, family assistance where adopted, and accessible student attendance as explicit obligations rather than leftover benefits. Record eligible participants, service standards, dated quotes, responsible payers and advance-payment deadlines. An institutional reimbursement is not automatically an individual entitlement. Publish aggregate service outcomes without exposing private athlete information, and do not use promised services as the balancing item when receipts disappoint.</w:t>
      </w:r>
    </w:p>
    <w:p>
      <w:pPr>
        <w:pStyle w:val="Heading2"/>
      </w:pPr>
      <w:r>
        <w:t>Decisions already made</w:t>
      </w:r>
    </w:p>
    <w:p>
      <w:pPr>
        <w:pStyle w:val="Heading3"/>
      </w:pPr>
      <w:r>
        <w:t>Who funds independent advice for athletes who cannot afford private representation?</w:t>
      </w:r>
    </w:p>
    <w:p>
      <w:r>
        <w:t>A protected national athlete-services assessment is funded before discretionary postseason distributions. Athletes choose from qualified independent advisers; schools and the regulator may not select counsel for an individual dispute.</w:t>
      </w:r>
    </w:p>
    <w:p>
      <w:pPr>
        <w:pStyle w:val="Heading3"/>
      </w:pPr>
      <w:r>
        <w:t>Which agreement terms should be public, confidential to the regulator, or private to the parties?</w:t>
      </w:r>
    </w:p>
    <w:p>
      <w:r>
        <w:t>Standard terms, rights, remedies, aggregate compensation, and compliance statistics are public. Regulators receive the complete agreement under privacy controls. Individual economics, medical, education, and family information remain private unless law or informed consent requires disclosure.</w:t>
      </w:r>
    </w:p>
    <w:p>
      <w:pPr>
        <w:pStyle w:val="Heading2"/>
      </w:pPr>
      <w:r>
        <w:t>Safeguards</w:t>
      </w:r>
    </w:p>
    <w:p>
      <w:pPr>
        <w:pStyle w:val="ListBullet"/>
        <w:keepLines/>
      </w:pPr>
      <w:r>
        <w:t>Rights apply nationally and survive a transfer between participating institutions.</w:t>
      </w:r>
    </w:p>
    <w:p>
      <w:pPr>
        <w:pStyle w:val="ListBullet"/>
        <w:keepLines/>
      </w:pPr>
      <w:r>
        <w:t>A waiver of a core health, due-process, or education protection is unenforceable.</w:t>
      </w:r>
    </w:p>
    <w:p>
      <w:pPr>
        <w:pStyle w:val="ListBullet"/>
        <w:keepLines/>
      </w:pPr>
      <w:r>
        <w:t>Independent athlete advocates participate in rulemaking and periodic audits.</w:t>
      </w:r>
    </w:p>
    <w:p>
      <w:pPr>
        <w:pStyle w:val="ListBullet"/>
        <w:keepLines/>
      </w:pPr>
      <w:r>
        <w:t>Discipline distinguishes knowing misconduct from a teammate's, coach's, or institution's conduct.</w:t>
      </w:r>
    </w:p>
    <w:p>
      <w:pPr>
        <w:pStyle w:val="Heading2"/>
      </w:pPr>
      <w:r>
        <w:t>Questions reserved for validation</w:t>
      </w:r>
    </w:p>
    <w:p>
      <w:pPr>
        <w:pStyle w:val="ListBullet"/>
        <w:keepLines/>
      </w:pPr>
      <w:r>
        <w:t>Which rights require collective bargaining or federal legislation to become durable?</w:t>
      </w:r>
    </w:p>
    <w:p>
      <w:pPr>
        <w:pStyle w:val="DocumentLink"/>
      </w:pPr>
      <w:r>
        <w:rPr>
          <w:b/>
        </w:rPr>
        <w:t xml:space="preserve">ONLINE PATHS  </w:t>
      </w:r>
      <w:r>
        <w:t>Complete proposal chapter: bettercollegefootball.com/proposal/full#athlete-rights-responsibilities</w:t>
        <w:br/>
      </w:r>
      <w:r>
        <w:t>Two-minute brief: bettercollegefootball.com/proposal/athlete-rights-responsibilities</w:t>
        <w:br/>
      </w:r>
      <w:r>
        <w:t>Evidence and validation: bettercollegefootball.com/evidence</w:t>
      </w:r>
    </w:p>
    <w:p>
      <w:pPr>
        <w:pStyle w:val="Heading1"/>
        <w:pageBreakBefore/>
      </w:pPr>
      <w:r>
        <w:t>10  Player-School Agreements and Roster Security</w:t>
      </w:r>
    </w:p>
    <w:p>
      <w:pPr>
        <w:pStyle w:val="SectionLabel"/>
        <w:spacing w:before="0"/>
      </w:pPr>
      <w:r>
        <w:t>THE MARKET  ·  CHAPTER 10</w:t>
      </w:r>
    </w:p>
    <w:p>
      <w:pPr>
        <w:spacing w:after="200"/>
      </w:pPr>
      <w:r>
        <w:rPr>
          <w:b/>
          <w:sz w:val="24"/>
        </w:rPr>
        <w:t>College football should not choose between trapping athletes and making every roster an annual free-for-all. It should protect movement while enforcing commitments people voluntarily make.</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1–4</w:t>
            </w:r>
            <w:r>
              <w:br/>
            </w:r>
            <w:r>
              <w:rPr>
                <w:b/>
                <w:color w:val="5D6B75"/>
                <w:sz w:val="14"/>
              </w:rPr>
              <w:t>YEAR TERMS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Both</w:t>
            </w:r>
            <w:r>
              <w:br/>
            </w:r>
            <w:r>
              <w:rPr>
                <w:b/>
                <w:color w:val="5D6B75"/>
                <w:sz w:val="14"/>
              </w:rPr>
              <w:t>SIDES OBLIGATED</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Written</w:t>
            </w:r>
            <w:r>
              <w:br/>
            </w:r>
            <w:r>
              <w:rPr>
                <w:b/>
                <w:color w:val="5D6B75"/>
                <w:sz w:val="14"/>
              </w:rPr>
              <w:t>EXIT PROVISIONS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Protected</w:t>
            </w:r>
            <w:r>
              <w:br/>
            </w:r>
            <w:r>
              <w:rPr>
                <w:b/>
                <w:color w:val="5D6B75"/>
                <w:sz w:val="14"/>
              </w:rPr>
              <w:t>ACADEMIC AID</w:t>
            </w:r>
          </w:p>
        </w:tc>
      </w:tr>
    </w:tbl>
    <w:p>
      <w:pPr>
        <w:pStyle w:val="Heading2"/>
      </w:pPr>
      <w:r>
        <w:t>Current recommendation</w:t>
      </w:r>
    </w:p>
    <w:p>
      <w:pPr>
        <w:pStyle w:val="Decision"/>
      </w:pPr>
      <w:r>
        <w:t>Replace annual informal promises with standardized one- to four-year agreements that let both sides choose flexibility or stability and live with the commitments they sign.</w:t>
      </w:r>
    </w:p>
    <w:p>
      <w:pPr>
        <w:pStyle w:val="Heading2"/>
      </w:pPr>
      <w:r>
        <w:t>Why change is needed</w:t>
      </w:r>
    </w:p>
    <w:p>
      <w:r>
        <w:t>Players can be treated as bound when schools want roster certainty and disposable when schools want room. Schools, meanwhile, cannot plan a roster when every commitment is assumed to vanish immediately.</w:t>
      </w:r>
    </w:p>
    <w:p>
      <w:pPr>
        <w:pStyle w:val="Heading2"/>
      </w:pPr>
      <w:r>
        <w:t>Recommendation at a glance</w:t>
      </w:r>
    </w:p>
    <w:p>
      <w:pPr>
        <w:pStyle w:val="ListBullet"/>
        <w:keepLines/>
      </w:pPr>
      <w:r>
        <w:t>Every agreement states term, compensation, scholarship, medical and academic support, NIL treatment, exit rights, and dispute resolution.</w:t>
      </w:r>
    </w:p>
    <w:p>
      <w:pPr>
        <w:pStyle w:val="ListBullet"/>
        <w:keepLines/>
      </w:pPr>
      <w:r>
        <w:t>Schools owe the guarantees they make; players honor active terms unless an agreed exit, release, expiration, or school-breach remedy applies.</w:t>
      </w:r>
    </w:p>
    <w:p>
      <w:pPr>
        <w:pStyle w:val="ListBullet"/>
        <w:keepLines/>
      </w:pPr>
      <w:r>
        <w:t>Reasonable buyouts may protect real commitments, but national fairness review prevents a disguised movement ban.</w:t>
      </w:r>
    </w:p>
    <w:p>
      <w:pPr>
        <w:pStyle w:val="Heading2"/>
      </w:pPr>
      <w:r>
        <w:t>Why this approach</w:t>
      </w:r>
    </w:p>
    <w:p>
      <w:r>
        <w:t>The proposal does not choose between unrestricted annual movement and athlete lock-in. It makes duration a transparent bargain with enforceable protection on both sides.</w:t>
      </w:r>
    </w:p>
    <w:p>
      <w:pPr>
        <w:pStyle w:val="SectionLabel"/>
        <w:spacing w:before="160"/>
      </w:pPr>
      <w:r>
        <w:t>THE TRADEOFF</w:t>
      </w:r>
    </w:p>
    <w:p>
      <w:pPr>
        <w:spacing w:after="160"/>
      </w:pPr>
      <w:r>
        <w:t>Enforceable agreements require lawful authority, independent advice, clear bargaining rights, and remedies that do not pressure athletes into signing away meaningful mobility.</w:t>
      </w:r>
    </w:p>
    <w:p>
      <w:pPr>
        <w:pStyle w:val="SectionLabel"/>
        <w:spacing w:before="160"/>
      </w:pPr>
      <w:r>
        <w:t>IN PRACTICE</w:t>
      </w:r>
    </w:p>
    <w:p>
      <w:pPr>
        <w:spacing w:after="160"/>
      </w:pPr>
      <w:r>
        <w:t>A player who values flexibility can sign for one year. A player and school choosing three years gain more certainty, while a head-coach departure or material school breach activates the published exit protection.</w:t>
      </w:r>
    </w:p>
    <w:p>
      <w:pPr>
        <w:pStyle w:val="Heading2"/>
      </w:pPr>
      <w:r>
        <w:t>The proposed rule</w:t>
      </w:r>
    </w:p>
    <w:p>
      <w:pPr>
        <w:pStyle w:val="ListBullet"/>
        <w:keepLines/>
      </w:pPr>
      <w:r>
        <w:t>Players and schools may choose standardized agreements lasting one, two, three, or four years.</w:t>
      </w:r>
    </w:p>
    <w:p>
      <w:pPr>
        <w:pStyle w:val="ListBullet"/>
        <w:keepLines/>
      </w:pPr>
      <w:r>
        <w:t>Every agreement identifies compensation, scholarship, academic, medical, injury, NIL, term, termination, release, school-breach remedies, and dispute-resolution provisions.</w:t>
      </w:r>
    </w:p>
    <w:p>
      <w:pPr>
        <w:pStyle w:val="ListBullet"/>
        <w:keepLines/>
      </w:pPr>
      <w:r>
        <w:t>A one-year term maximizes flexibility; a multiyear term creates greater certainty for both parties.</w:t>
      </w:r>
    </w:p>
    <w:p>
      <w:pPr>
        <w:pStyle w:val="ListBullet"/>
        <w:keepLines/>
      </w:pPr>
      <w:r>
        <w:t>A school must honor guaranteed commitments and cannot discard a player without the contractual consequences it accepted.</w:t>
      </w:r>
    </w:p>
    <w:p>
      <w:pPr>
        <w:pStyle w:val="ListBullet"/>
        <w:keepLines/>
      </w:pPr>
      <w:r>
        <w:t>A player must honor an active agreement unless it expires, the school grants a release, a negotiated exit applies, or the athlete invokes a valid school-breach remedy.</w:t>
      </w:r>
    </w:p>
    <w:p>
      <w:pPr>
        <w:pStyle w:val="ListBullet"/>
        <w:keepLines/>
      </w:pPr>
      <w:r>
        <w:t>Reasonable buyouts may exist, but national fairness review prevents a buyout from functioning as a disguised movement ban.</w:t>
      </w:r>
    </w:p>
    <w:p>
      <w:pPr>
        <w:pStyle w:val="Heading2"/>
      </w:pPr>
      <w:r>
        <w:t>How the chapter works</w:t>
      </w:r>
    </w:p>
    <w:p>
      <w:pPr>
        <w:pStyle w:val="Heading3"/>
      </w:pPr>
      <w:r>
        <w:t>Do not restrict movement. Enforce voluntary commitments.</w:t>
      </w:r>
    </w:p>
    <w:p>
      <w:r>
        <w:t>The NCAA should not impose a career transfer count merely because frequent movement is unpopular. The player chooses the flexibility of a short term or the certainty and negotiated value of a longer term. Once free of the agreement, no former school controls the next destination.</w:t>
      </w:r>
    </w:p>
    <w:p>
      <w:pPr>
        <w:pStyle w:val="Heading3"/>
      </w:pPr>
      <w:r>
        <w:t>A real two-sided contract</w:t>
      </w:r>
    </w:p>
    <w:p>
      <w:r>
        <w:t>The agreement protects the athlete from withdrawn promises just as it protects the program from unauthorized departure. Compensation schedules, academic support, medical coverage, injury treatment, roster status, and release rights are written before enrollment or renewal.</w:t>
      </w:r>
    </w:p>
    <w:p>
      <w:pPr>
        <w:pStyle w:val="Heading3"/>
      </w:pPr>
      <w:r>
        <w:t>Defined exit events</w:t>
      </w:r>
    </w:p>
    <w:p>
      <w:r>
        <w:t>National templates require the parties to address coaching changes, compensation breach, major sanctions, program elimination, medical circumstances, graduation, misconduct, and extraordinary family hardship. The rulebook should not automatically make every coaching change an unrestricted exit, but it should require the issue to be resolved in advance.</w:t>
      </w:r>
    </w:p>
    <w:p>
      <w:pPr>
        <w:pStyle w:val="Heading3"/>
      </w:pPr>
      <w:r>
        <w:t>Roster limits instead of scholarship games</w:t>
      </w:r>
    </w:p>
    <w:p>
      <w:r>
        <w:t>A national active-roster limit is easier to audit than a maze of nominal scholarship distinctions. If a school ends an athletic agreement without cause, the remaining academic scholarship or a defined completion benefit remains protected even when the athlete leaves the roster.</w:t>
      </w:r>
    </w:p>
    <w:p>
      <w:pPr>
        <w:pStyle w:val="Heading3"/>
      </w:pPr>
      <w:r>
        <w:t>Apply the same philosophy to coaches</w:t>
      </w:r>
    </w:p>
    <w:p>
      <w:r>
        <w:t>Coaches can change jobs and schools can replace them, but buyouts and negotiated obligations still matter. A modern system should not demand loyalty from nineteen-year-olds while treating a coach's six-year promise as merely a price tag for the next employer.</w:t>
      </w:r>
    </w:p>
    <w:p>
      <w:pPr>
        <w:pStyle w:val="Heading2"/>
      </w:pPr>
      <w:r>
        <w:t>Decisions already made</w:t>
      </w:r>
    </w:p>
    <w:p>
      <w:pPr>
        <w:pStyle w:val="Heading3"/>
      </w:pPr>
      <w:r>
        <w:t>Which coaching-change provisions should be mandatory and which should be negotiated?</w:t>
      </w:r>
    </w:p>
    <w:p>
      <w:r>
        <w:t>Every agreement includes a no-penalty exit window after the head coach leaves or is removed and protects accrued aid, medical care, and academic support through the decision period. Additional compensation guarantees or coordinator-specific clauses may be negotiated.</w:t>
      </w:r>
    </w:p>
    <w:p>
      <w:pPr>
        <w:pStyle w:val="Heading3"/>
      </w:pPr>
      <w:r>
        <w:t>What maximum buyout or formula preserves genuine mobility?</w:t>
      </w:r>
    </w:p>
    <w:p>
      <w:r>
        <w:t>The default ceiling is the lesser of the unamortized guaranteed institutional compensation remaining on the agreement or one season of guaranteed institutional compensation. Third-party NIL, punitive damages, and academic or medical benefits cannot inflate the amount, and the independent tribunal may reduce a term that still operates as a practical movement ban.</w:t>
      </w:r>
    </w:p>
    <w:p>
      <w:pPr>
        <w:pStyle w:val="Heading2"/>
      </w:pPr>
      <w:r>
        <w:t>Safeguards</w:t>
      </w:r>
    </w:p>
    <w:p>
      <w:pPr>
        <w:pStyle w:val="ListBullet"/>
        <w:keepLines/>
      </w:pPr>
      <w:r>
        <w:t>National templates set minimum terms without centrally setting compensation.</w:t>
      </w:r>
    </w:p>
    <w:p>
      <w:pPr>
        <w:pStyle w:val="ListBullet"/>
        <w:keepLines/>
      </w:pPr>
      <w:r>
        <w:t>Independent counsel reviews unconscionable buyouts, one-sided termination clauses, and undisclosed side agreements.</w:t>
      </w:r>
    </w:p>
    <w:p>
      <w:pPr>
        <w:pStyle w:val="ListBullet"/>
        <w:keepLines/>
      </w:pPr>
      <w:r>
        <w:t>Injury cannot erase guaranteed academic and medical protections.</w:t>
      </w:r>
    </w:p>
    <w:p>
      <w:pPr>
        <w:pStyle w:val="ListBullet"/>
        <w:keepLines/>
      </w:pPr>
      <w:r>
        <w:t>Out-of-contract athletes face no destination restriction or conference-specific waiting period.</w:t>
      </w:r>
    </w:p>
    <w:p>
      <w:pPr>
        <w:pStyle w:val="Heading2"/>
      </w:pPr>
      <w:r>
        <w:t>Questions reserved for validation</w:t>
      </w:r>
    </w:p>
    <w:p>
      <w:pPr>
        <w:pStyle w:val="ListBullet"/>
        <w:keepLines/>
      </w:pPr>
      <w:r>
        <w:t>Can enforceable multiyear agreements operate without recognized employment and collective bargaining?</w:t>
      </w:r>
    </w:p>
    <w:p>
      <w:pPr>
        <w:pStyle w:val="ListBullet"/>
        <w:keepLines/>
      </w:pPr>
      <w:r>
        <w:t>How should roster and compensation guarantees interact with Title IX and institution-wide athlete obligations?</w:t>
      </w:r>
    </w:p>
    <w:p>
      <w:pPr>
        <w:pStyle w:val="DocumentLink"/>
      </w:pPr>
      <w:r>
        <w:rPr>
          <w:b/>
        </w:rPr>
        <w:t xml:space="preserve">ONLINE PATHS  </w:t>
      </w:r>
      <w:r>
        <w:t>Complete proposal chapter: bettercollegefootball.com/proposal/full#player-school-agreements</w:t>
        <w:br/>
      </w:r>
      <w:r>
        <w:t>Two-minute brief: bettercollegefootball.com/proposal/player-school-agreements</w:t>
        <w:br/>
      </w:r>
      <w:r>
        <w:t>Evidence and validation: bettercollegefootball.com/evidence</w:t>
      </w:r>
    </w:p>
    <w:p>
      <w:pPr>
        <w:pStyle w:val="Heading1"/>
        <w:pageBreakBefore/>
      </w:pPr>
      <w:r>
        <w:t>11  Transfers, Recruiting, and Tampering</w:t>
      </w:r>
    </w:p>
    <w:p>
      <w:pPr>
        <w:pStyle w:val="SectionLabel"/>
        <w:spacing w:before="0"/>
      </w:pPr>
      <w:r>
        <w:t>THE MARKET  ·  CHAPTER 11</w:t>
      </w:r>
    </w:p>
    <w:p>
      <w:pPr>
        <w:spacing w:after="200"/>
      </w:pPr>
      <w:r>
        <w:rPr>
          <w:b/>
          <w:sz w:val="24"/>
        </w:rPr>
        <w:t>A free marketplace still needs transaction periods and enforceable boundaries. The goal is meaningful opportunity to move without turning the season itself into a continuous recruiting market.</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w:t>
            </w:r>
            <w:r>
              <w:br/>
            </w:r>
            <w:r>
              <w:rPr>
                <w:b/>
                <w:color w:val="5D6B75"/>
                <w:sz w:val="14"/>
              </w:rPr>
              <w:t>PRIMARY WINDOW</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1</w:t>
            </w:r>
            <w:r>
              <w:br/>
            </w:r>
            <w:r>
              <w:rPr>
                <w:b/>
                <w:color w:val="5D6B75"/>
                <w:sz w:val="14"/>
              </w:rPr>
              <w:t>LIMITED SPRING WINDOW</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0</w:t>
            </w:r>
            <w:r>
              <w:br/>
            </w:r>
            <w:r>
              <w:rPr>
                <w:b/>
                <w:color w:val="5D6B75"/>
                <w:sz w:val="14"/>
              </w:rPr>
              <w:t>IN-SEASON FREE AGENCY</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Clear</w:t>
            </w:r>
            <w:r>
              <w:br/>
            </w:r>
            <w:r>
              <w:rPr>
                <w:b/>
                <w:color w:val="5D6B75"/>
                <w:sz w:val="14"/>
              </w:rPr>
              <w:t>TAMPERING LINE</w:t>
            </w:r>
          </w:p>
        </w:tc>
      </w:tr>
    </w:tbl>
    <w:p>
      <w:pPr>
        <w:pStyle w:val="Heading2"/>
      </w:pPr>
      <w:r>
        <w:t>Current recommendation</w:t>
      </w:r>
    </w:p>
    <w:p>
      <w:pPr>
        <w:pStyle w:val="Decision"/>
      </w:pPr>
      <w:r>
        <w:t>Open a real national market after the championship, allow repeated transfers whenever an athlete is contractually free, and make negotiation with a contracted player a defined violation.</w:t>
      </w:r>
    </w:p>
    <w:p>
      <w:pPr>
        <w:pStyle w:val="Heading2"/>
      </w:pPr>
      <w:r>
        <w:t>Why change is needed</w:t>
      </w:r>
    </w:p>
    <w:p>
      <w:r>
        <w:t>Continuous recruiting during the season destabilizes teams, but blunt transfer limits trap athletes and encourage hidden contact. The missing distinction is availability, not the number of prior moves.</w:t>
      </w:r>
    </w:p>
    <w:p>
      <w:pPr>
        <w:pStyle w:val="Heading2"/>
      </w:pPr>
      <w:r>
        <w:t>Recommendation at a glance</w:t>
      </w:r>
    </w:p>
    <w:p>
      <w:pPr>
        <w:pStyle w:val="ListBullet"/>
        <w:keepLines/>
      </w:pPr>
      <w:r>
        <w:t>The main market opens after the national championship and follows the published coaching market.</w:t>
      </w:r>
    </w:p>
    <w:p>
      <w:pPr>
        <w:pStyle w:val="ListBullet"/>
        <w:keepLines/>
      </w:pPr>
      <w:r>
        <w:t>A narrow spring window covers objective events such as a late coaching change, school breach, degree completion, or hardship.</w:t>
      </w:r>
    </w:p>
    <w:p>
      <w:pPr>
        <w:pStyle w:val="ListBullet"/>
        <w:keepLines/>
      </w:pPr>
      <w:r>
        <w:t>No one may negotiate with an athlete under an active agreement unless that agreement authorizes contact; every program may recruit a free athlete.</w:t>
      </w:r>
    </w:p>
    <w:p>
      <w:pPr>
        <w:pStyle w:val="Heading2"/>
      </w:pPr>
      <w:r>
        <w:t>Why this approach</w:t>
      </w:r>
    </w:p>
    <w:p>
      <w:r>
        <w:t>The same rule protects mobility and roster stability: free athletes have a broad market, while valid commitments are not quietly undermined through intermediaries.</w:t>
      </w:r>
    </w:p>
    <w:p>
      <w:pPr>
        <w:pStyle w:val="SectionLabel"/>
        <w:spacing w:before="160"/>
      </w:pPr>
      <w:r>
        <w:t>THE TRADEOFF</w:t>
      </w:r>
    </w:p>
    <w:p>
      <w:pPr>
        <w:spacing w:after="160"/>
      </w:pPr>
      <w:r>
        <w:t>Short windows can compress decisions and require strong advice, disclosure, and enforcement. Exceptions must be specific enough that the spring window does not become a second general market.</w:t>
      </w:r>
    </w:p>
    <w:p>
      <w:pPr>
        <w:pStyle w:val="SectionLabel"/>
        <w:spacing w:before="160"/>
      </w:pPr>
      <w:r>
        <w:t>IN PRACTICE</w:t>
      </w:r>
    </w:p>
    <w:p>
      <w:pPr>
        <w:spacing w:after="160"/>
      </w:pPr>
      <w:r>
        <w:t>An athlete entering the authorized market can hear from every compliant school even after a prior transfer. Before that date, a booster or collective cannot privately negotiate an offer around the active agreement.</w:t>
      </w:r>
    </w:p>
    <w:p>
      <w:pPr>
        <w:pStyle w:val="Heading2"/>
      </w:pPr>
      <w:r>
        <w:t>The proposed rule</w:t>
      </w:r>
    </w:p>
    <w:p>
      <w:pPr>
        <w:pStyle w:val="ListBullet"/>
        <w:keepLines/>
      </w:pPr>
      <w:r>
        <w:t>The primary transfer and free-agency window begins only after the national championship and follows the published coaching market.</w:t>
      </w:r>
    </w:p>
    <w:p>
      <w:pPr>
        <w:pStyle w:val="ListBullet"/>
        <w:keepLines/>
      </w:pPr>
      <w:r>
        <w:t>A short supplemental spring window is limited to defined events such as a late coaching change, aid breach, degree completion, or documented hardship.</w:t>
      </w:r>
    </w:p>
    <w:p>
      <w:pPr>
        <w:pStyle w:val="ListBullet"/>
        <w:keepLines/>
      </w:pPr>
      <w:r>
        <w:t>An athlete may transfer repeatedly across a career whenever he is contractually free; the NCAA does not impose a one-transfer lifetime rule.</w:t>
      </w:r>
    </w:p>
    <w:p>
      <w:pPr>
        <w:pStyle w:val="ListBullet"/>
        <w:keepLines/>
      </w:pPr>
      <w:r>
        <w:t>A program, collective, booster, agent, or intermediary may not negotiate with an athlete under an active agreement unless that agreement authorizes contact.</w:t>
      </w:r>
    </w:p>
    <w:p>
      <w:pPr>
        <w:pStyle w:val="ListBullet"/>
        <w:keepLines/>
      </w:pPr>
      <w:r>
        <w:t>Once the athlete enters the authorized market, every compliant program may recruit him under the same national disclosure and visit rules.</w:t>
      </w:r>
    </w:p>
    <w:p>
      <w:pPr>
        <w:pStyle w:val="ListBullet"/>
        <w:keepLines/>
      </w:pPr>
      <w:r>
        <w:t>Portal entry is notice of market availability—not an automatic cancellation of current aid, medical support, or academic access.</w:t>
      </w:r>
    </w:p>
    <w:p>
      <w:pPr>
        <w:pStyle w:val="Heading2"/>
      </w:pPr>
      <w:r>
        <w:t>How the chapter works</w:t>
      </w:r>
    </w:p>
    <w:p>
      <w:pPr>
        <w:pStyle w:val="Heading3"/>
      </w:pPr>
      <w:r>
        <w:t>One market after the season</w:t>
      </w:r>
    </w:p>
    <w:p>
      <w:r>
        <w:t>The current competition, coaching market, transfer market, visits, and signing sequence should not run simultaneously. Athletes first learn the relevant coaching outcome, then receive a real opportunity to explore, compare written offers, and make a decision before spring preparation.</w:t>
      </w:r>
    </w:p>
    <w:p>
      <w:pPr>
        <w:pStyle w:val="Heading3"/>
      </w:pPr>
      <w:r>
        <w:t>What tampering means</w:t>
      </w:r>
    </w:p>
    <w:p>
      <w:r>
        <w:t>The contractual line makes the rule understandable: no negotiating with a player who is not available. Enforcement reaches coaches, staff, agents, collectives, boosters acting for a program, and intermediaries rather than pretending only one actor creates the contact.</w:t>
      </w:r>
    </w:p>
    <w:p>
      <w:pPr>
        <w:pStyle w:val="Heading3"/>
      </w:pPr>
      <w:r>
        <w:t>Portable information</w:t>
      </w:r>
    </w:p>
    <w:p>
      <w:r>
        <w:t>A transferring athlete receives a standardized record of eligibility, credits, medical restrictions, existing obligations, compensation status, and applicable release terms. The receiving school must provide a written offer and degree-progress analysis before commitment.</w:t>
      </w:r>
    </w:p>
    <w:p>
      <w:pPr>
        <w:pStyle w:val="Heading3"/>
      </w:pPr>
      <w:r>
        <w:t>No raid during Week 7</w:t>
      </w:r>
    </w:p>
    <w:p>
      <w:r>
        <w:t>Transaction windows are not a rejection of markets. They are the scheduling infrastructure that lets a market function without destabilizing current competition. Every major professional sports market uses deadlines and defined transaction periods.</w:t>
      </w:r>
    </w:p>
    <w:p>
      <w:pPr>
        <w:pStyle w:val="Heading2"/>
      </w:pPr>
      <w:r>
        <w:t>Decisions already made</w:t>
      </w:r>
    </w:p>
    <w:p>
      <w:pPr>
        <w:pStyle w:val="Heading3"/>
      </w:pPr>
      <w:r>
        <w:t>How long should the primary market remain open after every championship path concludes?</w:t>
      </w:r>
    </w:p>
    <w:p>
      <w:r>
        <w:t>Fourteen days, beginning after the national championship, with a personal seven-day extension for any athlete whose postseason participation overlaps the national window.</w:t>
      </w:r>
    </w:p>
    <w:p>
      <w:pPr>
        <w:pStyle w:val="Heading3"/>
      </w:pPr>
      <w:r>
        <w:t>Which spring exceptions are objective enough to prevent a general second market?</w:t>
      </w:r>
    </w:p>
    <w:p>
      <w:r>
        <w:t>Program discontinuation, reduction or nonrenewal of aid, head-coach departure, documented medical or academic hardship, and a material school breach qualify. Each requires written evidence and expedited review.</w:t>
      </w:r>
    </w:p>
    <w:p>
      <w:pPr>
        <w:pStyle w:val="Heading3"/>
      </w:pPr>
      <w:r>
        <w:t>What evidence standard distinguishes ordinary relationship-building from prohibited negotiation?</w:t>
      </w:r>
    </w:p>
    <w:p>
      <w:r>
        <w:t>A violation requires reliable evidence of direct or knowingly mediated solicitation, an offer, or negotiation of compensation, roster status, transfer timing, or another material term while the athlete remains unavailable. A prior relationship, public praise, or generalized recruiting communication alone is not enough.</w:t>
      </w:r>
    </w:p>
    <w:p>
      <w:pPr>
        <w:pStyle w:val="Heading2"/>
      </w:pPr>
      <w:r>
        <w:t>Safeguards</w:t>
      </w:r>
    </w:p>
    <w:p>
      <w:pPr>
        <w:pStyle w:val="ListBullet"/>
        <w:keepLines/>
      </w:pPr>
      <w:r>
        <w:t>Postseason participants receive a personal extension after their final game.</w:t>
      </w:r>
    </w:p>
    <w:p>
      <w:pPr>
        <w:pStyle w:val="ListBullet"/>
        <w:keepLines/>
      </w:pPr>
      <w:r>
        <w:t>Whistleblowers and athletes can report tampering through a protected national channel.</w:t>
      </w:r>
    </w:p>
    <w:p>
      <w:pPr>
        <w:pStyle w:val="ListBullet"/>
        <w:keepLines/>
      </w:pPr>
      <w:r>
        <w:t>Contact records and significant intermediary relationships are available to investigators under privacy controls.</w:t>
      </w:r>
    </w:p>
    <w:p>
      <w:pPr>
        <w:pStyle w:val="ListBullet"/>
        <w:keepLines/>
      </w:pPr>
      <w:r>
        <w:t>A school cannot retaliate against an athlete merely for obtaining advice or using an authorized window.</w:t>
      </w:r>
    </w:p>
    <w:p>
      <w:pPr>
        <w:pStyle w:val="Heading2"/>
      </w:pPr>
      <w:r>
        <w:t>Validation status</w:t>
      </w:r>
    </w:p>
    <w:p>
      <w:r>
        <w:t>The policy choice is stated here. Legal, financial, operational, and stakeholder validation still runs through the public launch gates.</w:t>
      </w:r>
    </w:p>
    <w:p>
      <w:pPr>
        <w:pStyle w:val="DocumentLink"/>
      </w:pPr>
      <w:r>
        <w:rPr>
          <w:b/>
        </w:rPr>
        <w:t xml:space="preserve">ONLINE PATHS  </w:t>
      </w:r>
      <w:r>
        <w:t>Complete proposal chapter: bettercollegefootball.com/proposal/full#transfers-recruiting-tampering</w:t>
        <w:br/>
      </w:r>
      <w:r>
        <w:t>Two-minute brief: bettercollegefootball.com/proposal/transfers-recruiting-tampering</w:t>
        <w:br/>
      </w:r>
      <w:r>
        <w:t>Evidence and validation: bettercollegefootball.com/evidence</w:t>
      </w:r>
    </w:p>
    <w:p>
      <w:pPr>
        <w:pStyle w:val="Heading1"/>
        <w:pageBreakBefore/>
      </w:pPr>
      <w:r>
        <w:t>12  Compensation, NIL, Agents, and Collectives</w:t>
      </w:r>
    </w:p>
    <w:p>
      <w:pPr>
        <w:pStyle w:val="SectionLabel"/>
        <w:spacing w:before="0"/>
      </w:pPr>
      <w:r>
        <w:t>THE MARKET  ·  CHAPTER 12</w:t>
      </w:r>
    </w:p>
    <w:p>
      <w:pPr>
        <w:spacing w:after="200"/>
      </w:pPr>
      <w:r>
        <w:rPr>
          <w:b/>
          <w:sz w:val="24"/>
        </w:rPr>
        <w:t>The governing body should regulate conduct, not price. Athlete compensation becomes clearer when direct school compensation and genuine third-party NIL are treated as different economic relationships.</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Open</w:t>
            </w:r>
            <w:r>
              <w:br/>
            </w:r>
            <w:r>
              <w:rPr>
                <w:b/>
                <w:color w:val="5D6B75"/>
                <w:sz w:val="14"/>
              </w:rPr>
              <w:t>LEGITIMATE NIL MARKET</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2</w:t>
            </w:r>
            <w:r>
              <w:br/>
            </w:r>
            <w:r>
              <w:rPr>
                <w:b/>
                <w:color w:val="5D6B75"/>
                <w:sz w:val="14"/>
              </w:rPr>
              <w:t>ECONOMIC CATEGORIES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Written</w:t>
            </w:r>
            <w:r>
              <w:br/>
            </w:r>
            <w:r>
              <w:rPr>
                <w:b/>
                <w:color w:val="5D6B75"/>
                <w:sz w:val="14"/>
              </w:rPr>
              <w:t>SIGNIFICANT DEALS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No</w:t>
            </w:r>
            <w:r>
              <w:br/>
            </w:r>
            <w:r>
              <w:rPr>
                <w:b/>
                <w:color w:val="5D6B75"/>
                <w:sz w:val="14"/>
              </w:rPr>
              <w:t>CENTRAL PRICE BUREAU</w:t>
            </w:r>
          </w:p>
        </w:tc>
      </w:tr>
    </w:tbl>
    <w:p>
      <w:pPr>
        <w:pStyle w:val="Heading2"/>
      </w:pPr>
      <w:r>
        <w:t>Current recommendation</w:t>
      </w:r>
    </w:p>
    <w:p>
      <w:pPr>
        <w:pStyle w:val="Decision"/>
      </w:pPr>
      <w:r>
        <w:t>Let legitimate markets set athlete compensation while the national rulebook verifies who paid, what was promised, who advised the athlete, and whether the transaction was real.</w:t>
      </w:r>
    </w:p>
    <w:p>
      <w:pPr>
        <w:pStyle w:val="Heading2"/>
      </w:pPr>
      <w:r>
        <w:t>Why change is needed</w:t>
      </w:r>
    </w:p>
    <w:p>
      <w:r>
        <w:t>Price controls invite legal and practical failure, but a market without contracts, records, qualified advisers, or conflict rules makes athletes vulnerable and lets recruiting payments masquerade as commercial work.</w:t>
      </w:r>
    </w:p>
    <w:p>
      <w:pPr>
        <w:pStyle w:val="Heading2"/>
      </w:pPr>
      <w:r>
        <w:t>Recommendation at a glance</w:t>
      </w:r>
    </w:p>
    <w:p>
      <w:pPr>
        <w:pStyle w:val="ListBullet"/>
        <w:keepLines/>
      </w:pPr>
      <w:r>
        <w:t>Direct school compensation and outside NIL income remain distinct relationships with written terms and payment records.</w:t>
      </w:r>
    </w:p>
    <w:p>
      <w:pPr>
        <w:pStyle w:val="ListBullet"/>
        <w:keepLines/>
      </w:pPr>
      <w:r>
        <w:t>Significant deals identify the parties, services, tax treatment, conflicts, and qualified representation where applicable.</w:t>
      </w:r>
    </w:p>
    <w:p>
      <w:pPr>
        <w:pStyle w:val="ListBullet"/>
        <w:keepLines/>
      </w:pPr>
      <w:r>
        <w:t>Agents register nationally, preserve client funds, disclose conflicts, and face discipline for fraud, tampering, or knowing circumvention.</w:t>
      </w:r>
    </w:p>
    <w:p>
      <w:pPr>
        <w:pStyle w:val="Heading2"/>
      </w:pPr>
      <w:r>
        <w:t>Why this approach</w:t>
      </w:r>
    </w:p>
    <w:p>
      <w:r>
        <w:t>The regulator polices conduct rather than declaring a central price for talent. Legitimate collectives and businesses remain free to contract; sham entities and hidden side agreements do not.</w:t>
      </w:r>
    </w:p>
    <w:p>
      <w:pPr>
        <w:pStyle w:val="SectionLabel"/>
        <w:spacing w:before="160"/>
      </w:pPr>
      <w:r>
        <w:t>THE TRADEOFF</w:t>
      </w:r>
    </w:p>
    <w:p>
      <w:pPr>
        <w:spacing w:after="160"/>
      </w:pPr>
      <w:r>
        <w:t>Verification requires sensitive financial information. Regulators need full terms under privacy controls, while public reporting should usually use ranges, aggregates, and adjudicated facts.</w:t>
      </w:r>
    </w:p>
    <w:p>
      <w:pPr>
        <w:pStyle w:val="SectionLabel"/>
        <w:spacing w:before="160"/>
      </w:pPr>
      <w:r>
        <w:t>IN PRACTICE</w:t>
      </w:r>
    </w:p>
    <w:p>
      <w:pPr>
        <w:spacing w:after="160"/>
      </w:pPr>
      <w:r>
        <w:t>A local company may pay an athlete any lawful market price for documented services. A booster cannot label an undisclosed recruiting payment ‘NIL’ and avoid contract, tax, conflict, or anti-tampering rules.</w:t>
      </w:r>
    </w:p>
    <w:p>
      <w:pPr>
        <w:pStyle w:val="Heading2"/>
      </w:pPr>
      <w:r>
        <w:t>The proposed rule</w:t>
      </w:r>
    </w:p>
    <w:p>
      <w:pPr>
        <w:pStyle w:val="ListBullet"/>
        <w:keepLines/>
      </w:pPr>
      <w:r>
        <w:t>The NCAA does not decide the fair-market dollar value of a legitimate athlete endorsement or service agreement.</w:t>
      </w:r>
    </w:p>
    <w:p>
      <w:pPr>
        <w:pStyle w:val="ListBullet"/>
        <w:keepLines/>
      </w:pPr>
      <w:r>
        <w:t>Direct institutional compensation is disclosed as school compensation; outside commercial income is disclosed as third-party NIL.</w:t>
      </w:r>
    </w:p>
    <w:p>
      <w:pPr>
        <w:pStyle w:val="ListBullet"/>
        <w:keepLines/>
      </w:pPr>
      <w:r>
        <w:t>Significant NIL agreements require identifiable parties, written terms, payment records, tax compliance, conflict disclosure, and qualified representation where applicable.</w:t>
      </w:r>
    </w:p>
    <w:p>
      <w:pPr>
        <w:pStyle w:val="ListBullet"/>
        <w:keepLines/>
      </w:pPr>
      <w:r>
        <w:t>Boosters and collectives may enter legitimate agreements but may not use sham entities, hidden side letters, prohibited recruiting contact, gambling arrangements, or fraudulent services.</w:t>
      </w:r>
    </w:p>
    <w:p>
      <w:pPr>
        <w:pStyle w:val="ListBullet"/>
        <w:keepLines/>
      </w:pPr>
      <w:r>
        <w:t>Agents and financial representatives register nationally, disclose conflicts, preserve client funds, and accept discipline for knowing circumvention.</w:t>
      </w:r>
    </w:p>
    <w:p>
      <w:pPr>
        <w:pStyle w:val="ListBullet"/>
        <w:keepLines/>
      </w:pPr>
      <w:r>
        <w:t>Public reporting uses ranges and aggregates unless the athlete, the law, or an adjudicated case permits deal-level publication.</w:t>
      </w:r>
    </w:p>
    <w:p>
      <w:pPr>
        <w:pStyle w:val="Heading2"/>
      </w:pPr>
      <w:r>
        <w:t>How the chapter works</w:t>
      </w:r>
    </w:p>
    <w:p>
      <w:pPr>
        <w:pStyle w:val="Heading3"/>
      </w:pPr>
      <w:r>
        <w:t>Regulate conduct, not price</w:t>
      </w:r>
    </w:p>
    <w:p>
      <w:r>
        <w:t>If a real company believes an athlete creates extraordinary value, a national administrator should not replace the market judgment with its own number. Oversight should ask whether the parties and services are real, the agreement is documented, taxes and representation rules are followed, and no other competitive rule is being evaded.</w:t>
      </w:r>
    </w:p>
    <w:p>
      <w:pPr>
        <w:pStyle w:val="Heading3"/>
      </w:pPr>
      <w:r>
        <w:t>Stop hiding school compensation inside NIL</w:t>
      </w:r>
    </w:p>
    <w:p>
      <w:r>
        <w:t>Money offered directly by a university as part of the athlete-school relationship belongs in the player agreement. A separate contract with a business for the use of name, image, likeness, appearances, content, or endorsements belongs in the third-party category. An athlete may receive both.</w:t>
      </w:r>
    </w:p>
    <w:p>
      <w:pPr>
        <w:pStyle w:val="Heading3"/>
      </w:pPr>
      <w:r>
        <w:t>Legalize reality, expose deception</w:t>
      </w:r>
    </w:p>
    <w:p>
      <w:r>
        <w:t>Booster influence cannot be eliminated through word games. A disclosed, performed commercial agreement should be treated differently from a fabricated business, undisclosed recruiting payment, secret promise, or negotiation with a player who remains under contract elsewhere.</w:t>
      </w:r>
    </w:p>
    <w:p>
      <w:pPr>
        <w:pStyle w:val="Heading3"/>
      </w:pPr>
      <w:r>
        <w:t>Representation is a protection</w:t>
      </w:r>
    </w:p>
    <w:p>
      <w:r>
        <w:t>Agents, lawyers, accountants, and financial advisers should not threaten eligibility merely by helping an athlete. Registration focuses on competence, conflicts, fee disclosure, custody of funds, and discipline—not on preventing athletes from receiving advice.</w:t>
      </w:r>
    </w:p>
    <w:p>
      <w:pPr>
        <w:pStyle w:val="Heading3"/>
      </w:pPr>
      <w:r>
        <w:t>One transaction record</w:t>
      </w:r>
    </w:p>
    <w:p>
      <w:r>
        <w:t>Every significant compensation arrangement should produce one regulator-accessible record identifying the parties, term, promised services, payment schedule, use rights, cancellation terms, representative, conflicts, and proof of performance. Direct school compensation and third-party NIL remain separate fields even when they are negotiated at the same time. The public sees standard terms, ranges, registered participants, and adjudicated violations; the regulator sees the complete file under access controls; personal banking, tax, medical, education, and family information remains private unless disclosure is legally required or knowingly authorized.</w:t>
      </w:r>
    </w:p>
    <w:p>
      <w:pPr>
        <w:pStyle w:val="ListBullet"/>
        <w:keepLines/>
      </w:pPr>
      <w:r>
        <w:t>A disclosed agreement that is performed receives a correction period for a nonmaterial filing error before punitive enforcement begins.</w:t>
      </w:r>
    </w:p>
    <w:p>
      <w:pPr>
        <w:pStyle w:val="ListBullet"/>
        <w:keepLines/>
      </w:pPr>
      <w:r>
        <w:t>A hidden side letter, fabricated service, prohibited in-season negotiation, misuse of client funds, or knowing false filing can trigger investigation without imposing a central price test.</w:t>
      </w:r>
    </w:p>
    <w:p>
      <w:pPr>
        <w:pStyle w:val="ListBullet"/>
        <w:keepLines/>
      </w:pPr>
      <w:r>
        <w:t>The athlete receives the complete signed agreement, payment history, and representative-fee disclosure in a portable format.</w:t>
      </w:r>
    </w:p>
    <w:p>
      <w:pPr>
        <w:pStyle w:val="ListBullet"/>
        <w:keepLines/>
      </w:pPr>
      <w:r>
        <w:t>Record-retention periods, audit access, correction rights, and sanctions publish before the contract year begins.</w:t>
      </w:r>
    </w:p>
    <w:p>
      <w:pPr>
        <w:pStyle w:val="Heading2"/>
      </w:pPr>
      <w:r>
        <w:t>Decisions already made</w:t>
      </w:r>
    </w:p>
    <w:p>
      <w:pPr>
        <w:pStyle w:val="Heading3"/>
      </w:pPr>
      <w:r>
        <w:t>Which deal information must be public, regulator-only, or private under a durable legal framework?</w:t>
      </w:r>
    </w:p>
    <w:p>
      <w:r>
        <w:t>Public reporting covers standard contract fields, aggregate market data, registered representatives, and enforcement outcomes. The regulator receives full deal terms. Personal compensation, tax, medical, and banking details remain private unless disclosure is legally required or knowingly authorized.</w:t>
      </w:r>
    </w:p>
    <w:p>
      <w:pPr>
        <w:pStyle w:val="Heading2"/>
      </w:pPr>
      <w:r>
        <w:t>Safeguards</w:t>
      </w:r>
    </w:p>
    <w:p>
      <w:pPr>
        <w:pStyle w:val="ListBullet"/>
        <w:keepLines/>
      </w:pPr>
      <w:r>
        <w:t>Confidential regulator access does not automatically make an athlete's financial life public.</w:t>
      </w:r>
    </w:p>
    <w:p>
      <w:pPr>
        <w:pStyle w:val="ListBullet"/>
        <w:keepLines/>
      </w:pPr>
      <w:r>
        <w:t>No NIL rule can be used as a disguised cap on direct school compensation.</w:t>
      </w:r>
    </w:p>
    <w:p>
      <w:pPr>
        <w:pStyle w:val="ListBullet"/>
        <w:keepLines/>
      </w:pPr>
      <w:r>
        <w:t>Gambling operators and prohibited categories face clear national restrictions.</w:t>
      </w:r>
    </w:p>
    <w:p>
      <w:pPr>
        <w:pStyle w:val="ListBullet"/>
        <w:keepLines/>
      </w:pPr>
      <w:r>
        <w:t>The disclosure threshold and record-retention period publish before each contract year.</w:t>
      </w:r>
    </w:p>
    <w:p>
      <w:pPr>
        <w:pStyle w:val="Heading2"/>
      </w:pPr>
      <w:r>
        <w:t>Questions reserved for validation</w:t>
      </w:r>
    </w:p>
    <w:p>
      <w:pPr>
        <w:pStyle w:val="ListBullet"/>
        <w:keepLines/>
      </w:pPr>
      <w:r>
        <w:t>How should national disclosure interact with state privacy and contract law?</w:t>
      </w:r>
    </w:p>
    <w:p>
      <w:pPr>
        <w:pStyle w:val="ListBullet"/>
        <w:keepLines/>
      </w:pPr>
      <w:r>
        <w:t>What collective or union structure is required before any compensation restraint can be lawful?</w:t>
      </w:r>
    </w:p>
    <w:p>
      <w:pPr>
        <w:pStyle w:val="DocumentLink"/>
      </w:pPr>
      <w:r>
        <w:rPr>
          <w:b/>
        </w:rPr>
        <w:t xml:space="preserve">ONLINE PATHS  </w:t>
      </w:r>
      <w:r>
        <w:t>Complete proposal chapter: bettercollegefootball.com/proposal/full#compensation-nil-agents</w:t>
        <w:br/>
      </w:r>
      <w:r>
        <w:t>Two-minute brief: bettercollegefootball.com/proposal/compensation-nil-agents</w:t>
        <w:br/>
      </w:r>
      <w:r>
        <w:t>Evidence and validation: bettercollegefootball.com/evidence</w:t>
      </w:r>
    </w:p>
    <w:p>
      <w:pPr>
        <w:pStyle w:val="Heading1"/>
        <w:pageBreakBefore/>
      </w:pPr>
      <w:r>
        <w:t>13  Eligibility and the College-Professional Boundary</w:t>
      </w:r>
    </w:p>
    <w:p>
      <w:pPr>
        <w:pStyle w:val="SectionLabel"/>
        <w:spacing w:before="0"/>
      </w:pPr>
      <w:r>
        <w:t>THE MARKET  ·  CHAPTER 13</w:t>
      </w:r>
    </w:p>
    <w:p>
      <w:pPr>
        <w:spacing w:after="200"/>
      </w:pPr>
      <w:r>
        <w:rPr>
          <w:b/>
          <w:sz w:val="24"/>
        </w:rPr>
        <w:t>Eligibility should be known before enrollment, not improvised through waivers and emergency court orders. Exploring a professional future is different from beginning a professional playing career.</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5</w:t>
            </w:r>
            <w:r>
              <w:br/>
            </w:r>
            <w:r>
              <w:rPr>
                <w:b/>
                <w:color w:val="5D6B75"/>
                <w:sz w:val="14"/>
              </w:rPr>
              <w:t>CALENDAR YEARS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4</w:t>
            </w:r>
            <w:r>
              <w:br/>
            </w:r>
            <w:r>
              <w:rPr>
                <w:b/>
                <w:color w:val="5D6B75"/>
                <w:sz w:val="14"/>
              </w:rPr>
              <w:t>PLAYING SEASONS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National</w:t>
            </w:r>
            <w:r>
              <w:br/>
            </w:r>
            <w:r>
              <w:rPr>
                <w:b/>
                <w:color w:val="5D6B75"/>
                <w:sz w:val="14"/>
              </w:rPr>
              <w:t>SAME DEFINITIONS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Bright line</w:t>
            </w:r>
            <w:r>
              <w:br/>
            </w:r>
            <w:r>
              <w:rPr>
                <w:b/>
                <w:color w:val="5D6B75"/>
                <w:sz w:val="14"/>
              </w:rPr>
              <w:t>PROFESSIONAL FINALITY</w:t>
            </w:r>
          </w:p>
        </w:tc>
      </w:tr>
    </w:tbl>
    <w:p>
      <w:pPr>
        <w:pStyle w:val="Heading2"/>
      </w:pPr>
      <w:r>
        <w:t>Current recommendation</w:t>
      </w:r>
    </w:p>
    <w:p>
      <w:pPr>
        <w:pStyle w:val="Decision"/>
      </w:pPr>
      <w:r>
        <w:t>Adopt one five-years-to-play-four rule, count prior college seasons consistently, and let athletes explore professional football until an objective professional commitment makes the choice final.</w:t>
      </w:r>
    </w:p>
    <w:p>
      <w:pPr>
        <w:pStyle w:val="Heading2"/>
      </w:pPr>
      <w:r>
        <w:t>Why change is needed</w:t>
      </w:r>
    </w:p>
    <w:p>
      <w:r>
        <w:t>Eligibility becomes arbitrary when comparable seasons count differently, waivers replace rules, or a draft conversation can be confused with actually becoming a professional player.</w:t>
      </w:r>
    </w:p>
    <w:p>
      <w:pPr>
        <w:pStyle w:val="Heading2"/>
      </w:pPr>
      <w:r>
        <w:t>Recommendation at a glance</w:t>
      </w:r>
    </w:p>
    <w:p>
      <w:pPr>
        <w:pStyle w:val="ListBullet"/>
        <w:keepLines/>
      </w:pPr>
      <w:r>
        <w:t>Five calendar years begin at full-time college enrollment, with four seasons across NCAA, JUCO, NAIA, and other recognized college competition.</w:t>
      </w:r>
    </w:p>
    <w:p>
      <w:pPr>
        <w:pStyle w:val="ListBullet"/>
        <w:keepLines/>
      </w:pPr>
      <w:r>
        <w:t>Medical hardship, military or qualifying religious service, and a short published set of extraordinary events can pause or extend the clock.</w:t>
      </w:r>
    </w:p>
    <w:p>
      <w:pPr>
        <w:pStyle w:val="ListBullet"/>
        <w:keepLines/>
      </w:pPr>
      <w:r>
        <w:t>Evaluation, agents, combines, workouts, and draft withdrawal remain reversible; a binding playing contract plus guaranteed professional playing compensation creates finality.</w:t>
      </w:r>
    </w:p>
    <w:p>
      <w:pPr>
        <w:pStyle w:val="Heading2"/>
      </w:pPr>
      <w:r>
        <w:t>Why this approach</w:t>
      </w:r>
    </w:p>
    <w:p>
      <w:r>
        <w:t>Athletes know the rule before enrolling and can receive professional advice without accidentally losing eligibility. Exceptions become evidence-based and appealable instead of improvised.</w:t>
      </w:r>
    </w:p>
    <w:p>
      <w:pPr>
        <w:pStyle w:val="SectionLabel"/>
        <w:spacing w:before="160"/>
      </w:pPr>
      <w:r>
        <w:t>THE TRADEOFF</w:t>
      </w:r>
    </w:p>
    <w:p>
      <w:pPr>
        <w:spacing w:after="160"/>
      </w:pPr>
      <w:r>
        <w:t>The exact professional trigger and transition rules require coordination with athletes, the NFL, NFLPA, agents, schools, and controlling law before they can bind anyone.</w:t>
      </w:r>
    </w:p>
    <w:p>
      <w:pPr>
        <w:pStyle w:val="SectionLabel"/>
        <w:spacing w:before="160"/>
      </w:pPr>
      <w:r>
        <w:t>IN PRACTICE</w:t>
      </w:r>
    </w:p>
    <w:p>
      <w:pPr>
        <w:spacing w:after="160"/>
      </w:pPr>
      <w:r>
        <w:t>A player may enter the draft process, hire qualified advice, work out, and withdraw by the published deadline. Signing and accepting guaranteed compensation under a professional playing contract ends college eligibility.</w:t>
      </w:r>
    </w:p>
    <w:p>
      <w:pPr>
        <w:pStyle w:val="Heading2"/>
      </w:pPr>
      <w:r>
        <w:t>The proposed rule</w:t>
      </w:r>
    </w:p>
    <w:p>
      <w:pPr>
        <w:pStyle w:val="ListBullet"/>
        <w:keepLines/>
      </w:pPr>
      <w:r>
        <w:t>An athlete has five calendar years from initial full-time collegiate enrollment to use four seasons of college football competition.</w:t>
      </w:r>
    </w:p>
    <w:p>
      <w:pPr>
        <w:pStyle w:val="ListBullet"/>
        <w:keepLines/>
      </w:pPr>
      <w:r>
        <w:t>JUCO, NAIA, NCAA, and other recognized collegiate seasons count consistently toward the four competitive seasons.</w:t>
      </w:r>
    </w:p>
    <w:p>
      <w:pPr>
        <w:pStyle w:val="ListBullet"/>
        <w:keepLines/>
      </w:pPr>
      <w:r>
        <w:t>No general age maximum applies; remaining seasons and the five-year clock control.</w:t>
      </w:r>
    </w:p>
    <w:p>
      <w:pPr>
        <w:pStyle w:val="ListBullet"/>
        <w:keepLines/>
      </w:pPr>
      <w:r>
        <w:t>Medical hardship, military service, qualifying religious service, and a short list of nationally defined extraordinary circumstances are the principal exceptions.</w:t>
      </w:r>
    </w:p>
    <w:p>
      <w:pPr>
        <w:pStyle w:val="ListBullet"/>
        <w:keepLines/>
      </w:pPr>
      <w:r>
        <w:t>Draft entry, professional evaluation, agent consultation, combines, workouts, and withdrawal by the published deadline do not alone end eligibility.</w:t>
      </w:r>
    </w:p>
    <w:p>
      <w:pPr>
        <w:pStyle w:val="ListBullet"/>
        <w:keepLines/>
      </w:pPr>
      <w:r>
        <w:t>Signing a professional football playing contract and beginning professional participation or accepting guaranteed playing compensation ends college football eligibility permanently.</w:t>
      </w:r>
    </w:p>
    <w:p>
      <w:pPr>
        <w:pStyle w:val="ListBullet"/>
        <w:keepLines/>
      </w:pPr>
      <w:r>
        <w:t>Knowing gambling or integrity violations may suspend or end eligibility through the ordinary due-process system; eligibility cannot be rewritten ad hoc by a conference.</w:t>
      </w:r>
    </w:p>
    <w:p>
      <w:pPr>
        <w:pStyle w:val="Heading2"/>
      </w:pPr>
      <w:r>
        <w:t>How the chapter works</w:t>
      </w:r>
    </w:p>
    <w:p>
      <w:pPr>
        <w:pStyle w:val="Heading3"/>
      </w:pPr>
      <w:r>
        <w:t>Know the answer before enrolling</w:t>
      </w:r>
    </w:p>
    <w:p>
      <w:r>
        <w:t>The national manual defines what counts as a season, how the clock begins, how prior college participation is credited, what a redshirt is, and which documented events pause or extend the clock. Comparable athletes receive comparable answers.</w:t>
      </w:r>
    </w:p>
    <w:p>
      <w:pPr>
        <w:pStyle w:val="Heading3"/>
      </w:pPr>
      <w:r>
        <w:t>Very limited exceptions</w:t>
      </w:r>
    </w:p>
    <w:p>
      <w:r>
        <w:t>Hard cases deserve humane rules, but an endless waiver process makes the rule unknowable. Exceptions should be enumerated, evidenced, time-limited, and appealable rather than invented after a sympathetic case reaches public attention.</w:t>
      </w:r>
    </w:p>
    <w:p>
      <w:pPr>
        <w:pStyle w:val="Heading3"/>
      </w:pPr>
      <w:r>
        <w:t>One Clean Doorway</w:t>
      </w:r>
    </w:p>
    <w:p>
      <w:r>
        <w:t>Athletes may explore the draft and professional market with qualified advice. Finality occurs only at the objective professional commitment point published in the College Football–NFL compact; a private conversation or evaluation does not accidentally erase eligibility.</w:t>
      </w:r>
    </w:p>
    <w:p>
      <w:pPr>
        <w:pStyle w:val="Heading3"/>
      </w:pPr>
      <w:r>
        <w:t>Prospective rule changes</w:t>
      </w:r>
    </w:p>
    <w:p>
      <w:r>
        <w:t>A new eligibility definition ordinarily begins with a future entering class or clearly stated transition group. Current competitors should not discover during a season that a court, conference, or administrator has silently changed the competitive population.</w:t>
      </w:r>
    </w:p>
    <w:p>
      <w:pPr>
        <w:pStyle w:val="Heading2"/>
      </w:pPr>
      <w:r>
        <w:t>Decisions already made</w:t>
      </w:r>
    </w:p>
    <w:p>
      <w:pPr>
        <w:pStyle w:val="Heading3"/>
      </w:pPr>
      <w:r>
        <w:t>Should the professional trigger occur at contract execution, receipt of guaranteed compensation, first practice, or first competition?</w:t>
      </w:r>
    </w:p>
    <w:p>
      <w:r>
        <w:t>Finality begins when an athlete signs a binding professional playing contract and accepts guaranteed professional playing compensation. Draft declaration, selection, evaluation, agent consultation, combines, and workouts remain reversible through the published withdrawal date.</w:t>
      </w:r>
    </w:p>
    <w:p>
      <w:pPr>
        <w:pStyle w:val="Heading3"/>
      </w:pPr>
      <w:r>
        <w:t>Which legacy athletes receive transition protection when the national rule begins?</w:t>
      </w:r>
    </w:p>
    <w:p>
      <w:r>
        <w:t>Every athlete already enrolled before the effective date keeps the more favorable of the prior rule or the new national rule for the remainder of the athlete’s existing eligibility clock.</w:t>
      </w:r>
    </w:p>
    <w:p>
      <w:pPr>
        <w:pStyle w:val="Heading2"/>
      </w:pPr>
      <w:r>
        <w:t>Safeguards</w:t>
      </w:r>
    </w:p>
    <w:p>
      <w:pPr>
        <w:pStyle w:val="ListBullet"/>
        <w:keepLines/>
      </w:pPr>
      <w:r>
        <w:t>Every eligibility decision states the rule, evidence, effective date, and appeal deadline.</w:t>
      </w:r>
    </w:p>
    <w:p>
      <w:pPr>
        <w:pStyle w:val="ListBullet"/>
        <w:keepLines/>
      </w:pPr>
      <w:r>
        <w:t>Expedited review resolves season-affecting eligibility disputes before competition whenever possible.</w:t>
      </w:r>
    </w:p>
    <w:p>
      <w:pPr>
        <w:pStyle w:val="ListBullet"/>
        <w:keepLines/>
      </w:pPr>
      <w:r>
        <w:t>Draft exploration remains protected from school retaliation.</w:t>
      </w:r>
    </w:p>
    <w:p>
      <w:pPr>
        <w:pStyle w:val="ListBullet"/>
        <w:keepLines/>
      </w:pPr>
      <w:r>
        <w:t>The professional-finality trigger is negotiated with the NFL, NFLPA, agents, athletes, and legal experts before adoption.</w:t>
      </w:r>
    </w:p>
    <w:p>
      <w:pPr>
        <w:pStyle w:val="Heading2"/>
      </w:pPr>
      <w:r>
        <w:t>Questions reserved for validation</w:t>
      </w:r>
    </w:p>
    <w:p>
      <w:pPr>
        <w:pStyle w:val="ListBullet"/>
        <w:keepLines/>
      </w:pPr>
      <w:r>
        <w:t>Can a simple national rule survive antitrust and employment-law review without collectively bargained authority?</w:t>
      </w:r>
    </w:p>
    <w:p>
      <w:pPr>
        <w:pStyle w:val="DocumentLink"/>
      </w:pPr>
      <w:r>
        <w:rPr>
          <w:b/>
        </w:rPr>
        <w:t xml:space="preserve">ONLINE PATHS  </w:t>
      </w:r>
      <w:r>
        <w:t>Complete proposal chapter: bettercollegefootball.com/proposal/full#eligibility-professional-boundary</w:t>
        <w:br/>
      </w:r>
      <w:r>
        <w:t>Two-minute brief: bettercollegefootball.com/proposal/eligibility-professional-boundary</w:t>
        <w:br/>
      </w:r>
      <w:r>
        <w:t>Evidence and validation: bettercollegefootball.com/evidence</w:t>
      </w:r>
    </w:p>
    <w:p>
      <w:pPr>
        <w:pStyle w:val="Heading1"/>
        <w:pageBreakBefore/>
      </w:pPr>
      <w:r>
        <w:t>14  National Governance and NCAA Authority</w:t>
      </w:r>
    </w:p>
    <w:p>
      <w:pPr>
        <w:pStyle w:val="SectionLabel"/>
        <w:spacing w:before="0"/>
      </w:pPr>
      <w:r>
        <w:t>THE GOVERNMENT  ·  CHAPTER 14</w:t>
      </w:r>
    </w:p>
    <w:p>
      <w:pPr>
        <w:spacing w:after="200"/>
      </w:pPr>
      <w:r>
        <w:rPr>
          <w:b/>
          <w:sz w:val="24"/>
        </w:rPr>
        <w:t>A national sport needs one national competitive rulebook. Legitimate authority begins by stating exactly what the NCAA controls, what it cannot control, and where conferences, the CFP, schools, athletes, and coordinating bodies retain power.</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1</w:t>
            </w:r>
            <w:r>
              <w:br/>
            </w:r>
            <w:r>
              <w:rPr>
                <w:b/>
                <w:color w:val="5D6B75"/>
                <w:sz w:val="14"/>
              </w:rPr>
              <w:t>NATIONAL RULEBOOK</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Defined</w:t>
            </w:r>
            <w:r>
              <w:br/>
            </w:r>
            <w:r>
              <w:rPr>
                <w:b/>
                <w:color w:val="5D6B75"/>
                <w:sz w:val="14"/>
              </w:rPr>
              <w:t>JURISDICTION</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Narrower</w:t>
            </w:r>
            <w:r>
              <w:br/>
            </w:r>
            <w:r>
              <w:rPr>
                <w:b/>
                <w:color w:val="5D6B75"/>
                <w:sz w:val="14"/>
              </w:rPr>
              <w:t>MARKET CONTROL</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Stronger</w:t>
            </w:r>
            <w:r>
              <w:br/>
            </w:r>
            <w:r>
              <w:rPr>
                <w:b/>
                <w:color w:val="5D6B75"/>
                <w:sz w:val="14"/>
              </w:rPr>
              <w:t>INTEGRITY AUTHORITY</w:t>
            </w:r>
          </w:p>
        </w:tc>
      </w:tr>
    </w:tbl>
    <w:p>
      <w:pPr>
        <w:pStyle w:val="Heading2"/>
      </w:pPr>
      <w:r>
        <w:t>Current recommendation</w:t>
      </w:r>
    </w:p>
    <w:p>
      <w:pPr>
        <w:pStyle w:val="Decision"/>
      </w:pPr>
      <w:r>
        <w:t>Make the NCAA stronger where a national competitive regulator is necessary and weaker where schools and athletes should retain lawful market choice.</w:t>
      </w:r>
    </w:p>
    <w:p>
      <w:pPr>
        <w:pStyle w:val="Heading2"/>
      </w:pPr>
      <w:r>
        <w:t>Why change is needed</w:t>
      </w:r>
    </w:p>
    <w:p>
      <w:r>
        <w:t>College football has overlapping authorities but no clear accountability map. The NCAA, conferences, CFP, schools, and ad hoc councils can each exercise power while responsibility for a bad rule becomes difficult to locate.</w:t>
      </w:r>
    </w:p>
    <w:p>
      <w:pPr>
        <w:pStyle w:val="Heading2"/>
      </w:pPr>
      <w:r>
        <w:t>Recommendation at a glance</w:t>
      </w:r>
    </w:p>
    <w:p>
      <w:pPr>
        <w:pStyle w:val="ListBullet"/>
        <w:keepLines/>
      </w:pPr>
      <w:r>
        <w:t>The NCAA owns enumerated national rules for eligibility, integrity, health minimums, transfers, recruiting, agents, enforcement, and agreement standards.</w:t>
      </w:r>
    </w:p>
    <w:p>
      <w:pPr>
        <w:pStyle w:val="ListBullet"/>
        <w:keepLines/>
      </w:pPr>
      <w:r>
        <w:t>Conferences retain membership, internal scheduling, compliant championships, and media coordination; the CFP administers the postseason.</w:t>
      </w:r>
    </w:p>
    <w:p>
      <w:pPr>
        <w:pStyle w:val="ListBullet"/>
        <w:keepLines/>
      </w:pPr>
      <w:r>
        <w:t>Athletes receive direct representation and standing, while every rule names its maker, administrator, judge, funding source, and amendment path.</w:t>
      </w:r>
    </w:p>
    <w:p>
      <w:pPr>
        <w:pStyle w:val="Heading2"/>
      </w:pPr>
      <w:r>
        <w:t>Why this approach</w:t>
      </w:r>
    </w:p>
    <w:p>
      <w:r>
        <w:t>A national sport needs consistent competitive rules, but national authority should not become a license to set NIL prices, choose rosters, or control every local operation.</w:t>
      </w:r>
    </w:p>
    <w:p>
      <w:pPr>
        <w:pStyle w:val="SectionLabel"/>
        <w:spacing w:before="160"/>
      </w:pPr>
      <w:r>
        <w:t>THE TRADEOFF</w:t>
      </w:r>
    </w:p>
    <w:p>
      <w:pPr>
        <w:spacing w:after="160"/>
      </w:pPr>
      <w:r>
        <w:t>The authority map may require a new major-college-football subdivision, contractual accession, bargaining, or legislation. The website proposes jurisdiction; it does not claim that jurisdiction already exists.</w:t>
      </w:r>
    </w:p>
    <w:p>
      <w:pPr>
        <w:pStyle w:val="SectionLabel"/>
        <w:spacing w:before="160"/>
      </w:pPr>
      <w:r>
        <w:t>IN PRACTICE</w:t>
      </w:r>
    </w:p>
    <w:p>
      <w:pPr>
        <w:spacing w:after="160"/>
      </w:pPr>
      <w:r>
        <w:t>A transfer eligibility rule has one accountable national owner and one appeal path. A conference can still design its schedule, but cannot use local punishment to recreate a national market restriction that the system forbids.</w:t>
      </w:r>
    </w:p>
    <w:p>
      <w:pPr>
        <w:pStyle w:val="Heading2"/>
      </w:pPr>
      <w:r>
        <w:t>The proposed rule</w:t>
      </w:r>
    </w:p>
    <w:p>
      <w:pPr>
        <w:pStyle w:val="ListBullet"/>
        <w:keepLines/>
      </w:pPr>
      <w:r>
        <w:t>The NCAA is the primary national regulator for eligibility, transfers, recruiting, roster rules, agents, gambling, health and safety minimums, competitive integrity, investigations, enforcement, and national agreement standards.</w:t>
      </w:r>
    </w:p>
    <w:p>
      <w:pPr>
        <w:pStyle w:val="ListBullet"/>
        <w:keepLines/>
      </w:pPr>
      <w:r>
        <w:t>Conferences control membership, internal scheduling, compliant championship formats, media coordination, and conference operations that do not contradict the national rulebook.</w:t>
      </w:r>
    </w:p>
    <w:p>
      <w:pPr>
        <w:pStyle w:val="ListBullet"/>
        <w:keepLines/>
      </w:pPr>
      <w:r>
        <w:t>The CFP administers the national postseason and does not become an independent government for the entire sport.</w:t>
      </w:r>
    </w:p>
    <w:p>
      <w:pPr>
        <w:pStyle w:val="ListBullet"/>
        <w:keepLines/>
      </w:pPr>
      <w:r>
        <w:t>Schools retain recruiting strategy, lawful compensation, coaching, roster construction, facilities, investment, and internal operations inside the national framework.</w:t>
      </w:r>
    </w:p>
    <w:p>
      <w:pPr>
        <w:pStyle w:val="ListBullet"/>
        <w:keepLines/>
      </w:pPr>
      <w:r>
        <w:t>Athletes receive nationally protected rights, direct representation, and due process rather than depending on conference discretion.</w:t>
      </w:r>
    </w:p>
    <w:p>
      <w:pPr>
        <w:pStyle w:val="ListBullet"/>
        <w:keepLines/>
      </w:pPr>
      <w:r>
        <w:t>Joint councils coordinate calendars, health, implementation, and professional transition; they do not quietly replace the entity legally accountable for a rule.</w:t>
      </w:r>
    </w:p>
    <w:p>
      <w:pPr>
        <w:pStyle w:val="Heading2"/>
      </w:pPr>
      <w:r>
        <w:t>How the chapter works</w:t>
      </w:r>
    </w:p>
    <w:p>
      <w:pPr>
        <w:pStyle w:val="Heading3"/>
      </w:pPr>
      <w:r>
        <w:t>National sport. National competitive rules.</w:t>
      </w:r>
    </w:p>
    <w:p>
      <w:r>
        <w:t>Eligibility and integrity cannot mean one thing in the Big Ten, another in the SEC, and something else after a transfer across state lines. National uniformity should be limited to issues that genuinely require it rather than becoming a license to regulate every local decision.</w:t>
      </w:r>
    </w:p>
    <w:p>
      <w:pPr>
        <w:pStyle w:val="Heading3"/>
      </w:pPr>
      <w:r>
        <w:t>Stronger here, weaker there</w:t>
      </w:r>
    </w:p>
    <w:p>
      <w:r>
        <w:t>The NCAA receives meaningful authority to protect competition, investigate misconduct, certify eligibility systems, and enforce common safeguards. It does not restore amateurism, suppress athlete income, assign NIL prices, choose each school's compensation strategy, or control a free athlete's destination.</w:t>
      </w:r>
    </w:p>
    <w:p>
      <w:pPr>
        <w:pStyle w:val="Heading3"/>
      </w:pPr>
      <w:r>
        <w:t>A published authority map</w:t>
      </w:r>
    </w:p>
    <w:p>
      <w:r>
        <w:t>Every material policy identifies the rulemaker, administrator, investigator, adjudicator, appellate body, funding source, required consultation, and amendment threshold. A catch-all committee is not allowed to make responsibility disappear.</w:t>
      </w:r>
    </w:p>
    <w:p>
      <w:pPr>
        <w:pStyle w:val="Heading3"/>
      </w:pPr>
      <w:r>
        <w:t>Voting, amendments, and emergency power</w:t>
      </w:r>
    </w:p>
    <w:p>
      <w:r>
        <w:t>The major-college-football charter must publish who holds a vote, which questions require athlete approval or negotiated consent, how conferences and independents are represented, how conflicts are screened, and what threshold changes a national rule. Ordinary competitive changes use a future effective date. An emergency order must identify its legal authority, the specific harm, the affected population, the temporary remedy, the appeal path, and an automatic expiration or review date. Coordination councils may prepare and recommend action, but only the accountable rulemaker can adopt it.</w:t>
      </w:r>
    </w:p>
    <w:p>
      <w:pPr>
        <w:pStyle w:val="ListBullet"/>
        <w:keepLines/>
      </w:pPr>
      <w:r>
        <w:t>Every annual agenda and recorded vote is public except for protected personnel, medical, bargaining, or investigative material.</w:t>
      </w:r>
    </w:p>
    <w:p>
      <w:pPr>
        <w:pStyle w:val="ListBullet"/>
        <w:keepLines/>
      </w:pPr>
      <w:r>
        <w:t>A rule outside the enumerated charter is invalid unless the charter is amended through the published process.</w:t>
      </w:r>
    </w:p>
    <w:p>
      <w:pPr>
        <w:pStyle w:val="ListBullet"/>
        <w:keepLines/>
      </w:pPr>
      <w:r>
        <w:t>Athletes, schools, conferences, and independents receive a defined path to challenge jurisdiction before the independent tribunal.</w:t>
      </w:r>
    </w:p>
    <w:p>
      <w:pPr>
        <w:pStyle w:val="ListBullet"/>
        <w:keepLines/>
      </w:pPr>
      <w:r>
        <w:t>Funding for investigation, adjudication, appeal, athlete services, and audit is protected from retaliation over a particular decision.</w:t>
      </w:r>
    </w:p>
    <w:p>
      <w:pPr>
        <w:pStyle w:val="Heading3"/>
      </w:pPr>
      <w:r>
        <w:t>Legal durability is a design requirement</w:t>
      </w:r>
    </w:p>
    <w:p>
      <w:r>
        <w:t>Rules should be built with athlete representation, labor analysis, antitrust review, notice, bargaining where required, and prospective transition. The objective is not to prevent lawful court review; it is to stop governing through avoidable emergency injunctions.</w:t>
      </w:r>
    </w:p>
    <w:p>
      <w:pPr>
        <w:pStyle w:val="Heading3"/>
      </w:pPr>
      <w:r>
        <w:t>Assign financial authority and downside responsibility</w:t>
      </w:r>
    </w:p>
    <w:p>
      <w:r>
        <w:t>The governing compact must identify who can approve the budget, who holds protected funds and who can authorize a reserve draw. Institutions, rights holders and event operators need enforceable payment and shortfall terms; a proposed backstop is not available cash. Independent review must examine conflicts, inter-entity transfers and payment deadlines, with a public explanation of funding gaps and the conditions that would stop launch.</w:t>
      </w:r>
    </w:p>
    <w:p>
      <w:pPr>
        <w:pStyle w:val="Heading2"/>
      </w:pPr>
      <w:r>
        <w:t>Decisions already made</w:t>
      </w:r>
    </w:p>
    <w:p>
      <w:pPr>
        <w:pStyle w:val="Heading3"/>
      </w:pPr>
      <w:r>
        <w:t>Does the NCAA require a distinct major-college-football division with delegated authority?</w:t>
      </w:r>
    </w:p>
    <w:p>
      <w:r>
        <w:t>Yes. The proposal creates a major-college-football governing subdivision with enumerated authority, direct athlete representation, published voting rules, and a charter that prevents it from becoming an unrestricted athlete-market regulator.</w:t>
      </w:r>
    </w:p>
    <w:p>
      <w:pPr>
        <w:pStyle w:val="Heading3"/>
      </w:pPr>
      <w:r>
        <w:t>How are independents represented without turning national rules into conference rules?</w:t>
      </w:r>
    </w:p>
    <w:p>
      <w:r>
        <w:t>Independents receive direct voting representation and committee access rather than being assigned to a conference proxy. National voting cannot depend solely on conference blocs.</w:t>
      </w:r>
    </w:p>
    <w:p>
      <w:pPr>
        <w:pStyle w:val="Heading2"/>
      </w:pPr>
      <w:r>
        <w:t>Safeguards</w:t>
      </w:r>
    </w:p>
    <w:p>
      <w:pPr>
        <w:pStyle w:val="ListBullet"/>
        <w:keepLines/>
      </w:pPr>
      <w:r>
        <w:t>NCAA jurisdiction is enumerated and subject to periodic reauthorization.</w:t>
      </w:r>
    </w:p>
    <w:p>
      <w:pPr>
        <w:pStyle w:val="ListBullet"/>
        <w:keepLines/>
      </w:pPr>
      <w:r>
        <w:t>Market restrictions require a published competitive justification and legal basis.</w:t>
      </w:r>
    </w:p>
    <w:p>
      <w:pPr>
        <w:pStyle w:val="ListBullet"/>
        <w:keepLines/>
      </w:pPr>
      <w:r>
        <w:t>Athletes, schools, and conferences retain standing to challenge ultra vires action through the independent tribunal.</w:t>
      </w:r>
    </w:p>
    <w:p>
      <w:pPr>
        <w:pStyle w:val="ListBullet"/>
        <w:keepLines/>
      </w:pPr>
      <w:r>
        <w:t>No conference may punish conduct the national system expressly permits merely to recreate a forbidden rule.</w:t>
      </w:r>
    </w:p>
    <w:p>
      <w:pPr>
        <w:pStyle w:val="Heading2"/>
      </w:pPr>
      <w:r>
        <w:t>Questions reserved for validation</w:t>
      </w:r>
    </w:p>
    <w:p>
      <w:pPr>
        <w:pStyle w:val="ListBullet"/>
        <w:keepLines/>
      </w:pPr>
      <w:r>
        <w:t>Which powers require federal legislation, collective bargaining, or contractual accession?</w:t>
      </w:r>
    </w:p>
    <w:p>
      <w:pPr>
        <w:pStyle w:val="DocumentLink"/>
      </w:pPr>
      <w:r>
        <w:rPr>
          <w:b/>
        </w:rPr>
        <w:t xml:space="preserve">ONLINE PATHS  </w:t>
      </w:r>
      <w:r>
        <w:t>Complete proposal chapter: bettercollegefootball.com/proposal/full#national-governance</w:t>
        <w:br/>
      </w:r>
      <w:r>
        <w:t>Two-minute brief: bettercollegefootball.com/proposal/national-governance</w:t>
        <w:br/>
      </w:r>
      <w:r>
        <w:t>Evidence and validation: bettercollegefootball.com/evidence</w:t>
      </w:r>
    </w:p>
    <w:p>
      <w:pPr>
        <w:pStyle w:val="Heading1"/>
        <w:pageBreakBefore/>
      </w:pPr>
      <w:r>
        <w:t>15  Competitive Integrity and Enforcement</w:t>
      </w:r>
    </w:p>
    <w:p>
      <w:pPr>
        <w:pStyle w:val="SectionLabel"/>
        <w:spacing w:before="0"/>
      </w:pPr>
      <w:r>
        <w:t>THE GOVERNMENT  ·  CHAPTER 15</w:t>
      </w:r>
    </w:p>
    <w:p>
      <w:pPr>
        <w:spacing w:after="200"/>
      </w:pPr>
      <w:r>
        <w:rPr>
          <w:b/>
          <w:sz w:val="24"/>
        </w:rPr>
        <w:t>Economic freedom needs room. Competitive integrity needs clear and credible rules. The closer misconduct comes to changing what happens between the lines, the faster and more reliable the response must become.</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Evidence</w:t>
            </w:r>
            <w:r>
              <w:br/>
            </w:r>
            <w:r>
              <w:rPr>
                <w:b/>
                <w:color w:val="5D6B75"/>
                <w:sz w:val="14"/>
              </w:rPr>
              <w:t>ASSIGNS RESPONSIBILITY</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Published</w:t>
            </w:r>
            <w:r>
              <w:br/>
            </w:r>
            <w:r>
              <w:rPr>
                <w:b/>
                <w:color w:val="5D6B75"/>
                <w:sz w:val="14"/>
              </w:rPr>
              <w:t>PENALTY BANDS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Fast</w:t>
            </w:r>
            <w:r>
              <w:br/>
            </w:r>
            <w:r>
              <w:rPr>
                <w:b/>
                <w:color w:val="5D6B75"/>
                <w:sz w:val="14"/>
              </w:rPr>
              <w:t>INTEGRITY DOCKET</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Escalating</w:t>
            </w:r>
            <w:r>
              <w:br/>
            </w:r>
            <w:r>
              <w:rPr>
                <w:b/>
                <w:color w:val="5D6B75"/>
                <w:sz w:val="14"/>
              </w:rPr>
              <w:t>REPEAT SANCTIONS</w:t>
            </w:r>
          </w:p>
        </w:tc>
      </w:tr>
    </w:tbl>
    <w:p>
      <w:pPr>
        <w:pStyle w:val="Heading2"/>
      </w:pPr>
      <w:r>
        <w:t>Current recommendation</w:t>
      </w:r>
    </w:p>
    <w:p>
      <w:pPr>
        <w:pStyle w:val="Decision"/>
      </w:pPr>
      <w:r>
        <w:t>Classify violations by the harm they cause, investigate through a dedicated integrity function, and direct sanctions toward the people and institutions the evidence actually implicates.</w:t>
      </w:r>
    </w:p>
    <w:p>
      <w:pPr>
        <w:pStyle w:val="Heading2"/>
      </w:pPr>
      <w:r>
        <w:t>Why change is needed</w:t>
      </w:r>
    </w:p>
    <w:p>
      <w:r>
        <w:t>A paperwork error, hidden recruiting contact, player-safety violation, and deliberate attempt to alter a contest should not share one vague enforcement category or one improvised penalty process.</w:t>
      </w:r>
    </w:p>
    <w:p>
      <w:pPr>
        <w:pStyle w:val="Heading2"/>
      </w:pPr>
      <w:r>
        <w:t>Recommendation at a glance</w:t>
      </w:r>
    </w:p>
    <w:p>
      <w:pPr>
        <w:pStyle w:val="ListBullet"/>
        <w:keepLines/>
      </w:pPr>
      <w:r>
        <w:t>Category I covers game manipulation, prohibited competition-related gambling, illicit scouting, knowing ineligible participation, and systemic on-field misconduct.</w:t>
      </w:r>
    </w:p>
    <w:p>
      <w:pPr>
        <w:pStyle w:val="ListBullet"/>
        <w:keepLines/>
      </w:pPr>
      <w:r>
        <w:t>Administrative, market, recruiting, and disclosure violations use separate proportionate penalty ranges published before a scandal.</w:t>
      </w:r>
    </w:p>
    <w:p>
      <w:pPr>
        <w:pStyle w:val="ListBullet"/>
        <w:keepLines/>
      </w:pPr>
      <w:r>
        <w:t>Responsibility can reach players, coaches, staff, agents, collectives, boosters, leaders, or institutions—but only through evidence and defined supervisory duties.</w:t>
      </w:r>
    </w:p>
    <w:p>
      <w:pPr>
        <w:pStyle w:val="Heading2"/>
      </w:pPr>
      <w:r>
        <w:t>Why this approach</w:t>
      </w:r>
    </w:p>
    <w:p>
      <w:r>
        <w:t>Economic activity receives room to operate while conduct that threatens the contest receives faster, stronger treatment. Individual accountability cannot become an escape hatch for systemic institutional misconduct.</w:t>
      </w:r>
    </w:p>
    <w:p>
      <w:pPr>
        <w:pStyle w:val="SectionLabel"/>
        <w:spacing w:before="160"/>
      </w:pPr>
      <w:r>
        <w:t>THE TRADEOFF</w:t>
      </w:r>
    </w:p>
    <w:p>
      <w:pPr>
        <w:spacing w:after="160"/>
      </w:pPr>
      <w:r>
        <w:t>Fast integrity cases can cause major harm if the evidence is weak. Investigation, adjudication, interim restrictions, and appeals therefore need separate roles and strict deadlines.</w:t>
      </w:r>
    </w:p>
    <w:p>
      <w:pPr>
        <w:pStyle w:val="SectionLabel"/>
        <w:spacing w:before="160"/>
      </w:pPr>
      <w:r>
        <w:t>IN PRACTICE</w:t>
      </w:r>
    </w:p>
    <w:p>
      <w:pPr>
        <w:spacing w:after="160"/>
      </w:pPr>
      <w:r>
        <w:t>An undisclosed administrative error may produce correction and a proportionate fine. An organized operation that knowingly changes competitive conditions can justify staff bans, postseason sanctions, or a result remedy.</w:t>
      </w:r>
    </w:p>
    <w:p>
      <w:pPr>
        <w:pStyle w:val="Heading2"/>
      </w:pPr>
      <w:r>
        <w:t>The proposed rule</w:t>
      </w:r>
    </w:p>
    <w:p>
      <w:pPr>
        <w:pStyle w:val="ListBullet"/>
        <w:keepLines/>
      </w:pPr>
      <w:r>
        <w:t>A dedicated NCAA College Football Integrity Division investigates violations that threaten eligibility, fair competition, or the reliability of results.</w:t>
      </w:r>
    </w:p>
    <w:p>
      <w:pPr>
        <w:pStyle w:val="ListBullet"/>
        <w:keepLines/>
      </w:pPr>
      <w:r>
        <w:t>Category I covers deliberate game manipulation, prohibited gambling tied to one's competition, organized illicit scouting or signal acquisition, knowing use of ineligible players, falsification for on-field advantage, and systemic institutional integrity violations.</w:t>
      </w:r>
    </w:p>
    <w:p>
      <w:pPr>
        <w:pStyle w:val="ListBullet"/>
        <w:keepLines/>
      </w:pPr>
      <w:r>
        <w:t>Administrative, disclosure, recruiting, and market violations occupy separate categories with proportionate penalty ranges.</w:t>
      </w:r>
    </w:p>
    <w:p>
      <w:pPr>
        <w:pStyle w:val="ListBullet"/>
        <w:keepLines/>
      </w:pPr>
      <w:r>
        <w:t>Responsibility follows evidence to players, coaches, staff, agents, collectives, boosters, athletic directors, institutions, or combinations of them.</w:t>
      </w:r>
    </w:p>
    <w:p>
      <w:pPr>
        <w:pStyle w:val="ListBullet"/>
        <w:keepLines/>
      </w:pPr>
      <w:r>
        <w:t>Institutional sanctions apply when leadership participates, knowingly benefits, ignores warnings, acts with reckless disregard, or fails defined supervisory duties amid systemic misconduct.</w:t>
      </w:r>
    </w:p>
    <w:p>
      <w:pPr>
        <w:pStyle w:val="ListBullet"/>
        <w:keepLines/>
      </w:pPr>
      <w:r>
        <w:t>Repeat and concealment violations escalate; cooperation may mitigate but cannot erase the competitive harm.</w:t>
      </w:r>
    </w:p>
    <w:p>
      <w:pPr>
        <w:pStyle w:val="Heading2"/>
      </w:pPr>
      <w:r>
        <w:t>How the chapter works</w:t>
      </w:r>
    </w:p>
    <w:p>
      <w:pPr>
        <w:pStyle w:val="Heading3"/>
      </w:pPr>
      <w:r>
        <w:t>Protect the game</w:t>
      </w:r>
    </w:p>
    <w:p>
      <w:r>
        <w:t>A paperwork error is not equivalent to a deliberate operation intended to obtain an illegal on-field advantage. Classification begins with the threatened interest: market transparency, individual eligibility, athlete safety, or the integrity of the actual contest.</w:t>
      </w:r>
    </w:p>
    <w:p>
      <w:pPr>
        <w:pStyle w:val="Heading3"/>
      </w:pPr>
      <w:r>
        <w:t>Punish the responsible people</w:t>
      </w:r>
    </w:p>
    <w:p>
      <w:r>
        <w:t>Current players are not automatically guilty and not automatically irrelevant. A player who knowingly participates can be disciplined; a player with no established involvement should not become a convenient substitute for punishing the responsible coach, administrator, intermediary, or institution.</w:t>
      </w:r>
    </w:p>
    <w:p>
      <w:pPr>
        <w:pStyle w:val="Heading3"/>
      </w:pPr>
      <w:r>
        <w:t>Institutional responsibility still exists</w:t>
      </w:r>
    </w:p>
    <w:p>
      <w:r>
        <w:t>Individualization cannot become an escape hatch for an athletic department that built, tolerated, concealed, or systematically benefited from misconduct. Revenue-linked fines, recruiting restrictions, staff bans, postseason sanctions, and vacation of directly compromised results remain available for serious institutional cases.</w:t>
      </w:r>
    </w:p>
    <w:p>
      <w:pPr>
        <w:pStyle w:val="Heading3"/>
      </w:pPr>
      <w:r>
        <w:t>Penalty bands before the scandal</w:t>
      </w:r>
    </w:p>
    <w:p>
      <w:r>
        <w:t>The manual publishes presumptive ranges for fines, suspensions, show-cause restrictions, recruiting limits, eligibility consequences, postseason sanctions, result remedies, and repeat violations. Departures require a written explanation rather than improvisation under public pressure.</w:t>
      </w:r>
    </w:p>
    <w:p>
      <w:pPr>
        <w:pStyle w:val="Heading2"/>
      </w:pPr>
      <w:r>
        <w:t>Decisions already made</w:t>
      </w:r>
    </w:p>
    <w:p>
      <w:pPr>
        <w:pStyle w:val="Heading3"/>
      </w:pPr>
      <w:r>
        <w:t>Which integrity findings justify vacating a result rather than prospective sanctions?</w:t>
      </w:r>
    </w:p>
    <w:p>
      <w:r>
        <w:t>Vacatur is reserved for proven use of an ineligible participant or deliberate misconduct materially connected to the contest or access to it. Administrative violations without demonstrated competitive effect receive prospective or financial sanctions instead.</w:t>
      </w:r>
    </w:p>
    <w:p>
      <w:pPr>
        <w:pStyle w:val="Heading3"/>
      </w:pPr>
      <w:r>
        <w:t>What level of knowledge or supervisory failure creates athletic-director liability?</w:t>
      </w:r>
    </w:p>
    <w:p>
      <w:r>
        <w:t>Direct knowledge, reckless disregard of credible warnings, knowing benefit, concealment, or failure of a specifically assigned supervisory control can create liability. Title alone cannot.</w:t>
      </w:r>
    </w:p>
    <w:p>
      <w:pPr>
        <w:pStyle w:val="Heading3"/>
      </w:pPr>
      <w:r>
        <w:t>How should enforcement obtain evidence from third-party agents, collectives, and gambling platforms?</w:t>
      </w:r>
    </w:p>
    <w:p>
      <w:r>
        <w:t>Registered agents and collectives accept defined record-retention, audit, preservation, and lawful-cooperation duties as a condition of participating in the system, with requests reviewable by the independent tribunal. Gambling-platform evidence comes through pre-negotiated integrity agreements or lawful compulsory process; the proposal does not invent subpoena power the regulator does not possess. Destruction after a valid preservation notice may support sanctions or an adverse inference against the duty holder.</w:t>
      </w:r>
    </w:p>
    <w:p>
      <w:pPr>
        <w:pStyle w:val="Heading2"/>
      </w:pPr>
      <w:r>
        <w:t>Safeguards</w:t>
      </w:r>
    </w:p>
    <w:p>
      <w:pPr>
        <w:pStyle w:val="ListBullet"/>
        <w:keepLines/>
      </w:pPr>
      <w:r>
        <w:t>Investigation and adjudication remain separate functions.</w:t>
      </w:r>
    </w:p>
    <w:p>
      <w:pPr>
        <w:pStyle w:val="ListBullet"/>
        <w:keepLines/>
      </w:pPr>
      <w:r>
        <w:t>No sanction relies solely on public outrage, anonymous accusation, or institutional reputation.</w:t>
      </w:r>
    </w:p>
    <w:p>
      <w:pPr>
        <w:pStyle w:val="ListBullet"/>
        <w:keepLines/>
      </w:pPr>
      <w:r>
        <w:t>Revenue-linked fines prevent the same nominal penalty from meaning radically different things to different programs.</w:t>
      </w:r>
    </w:p>
    <w:p>
      <w:pPr>
        <w:pStyle w:val="ListBullet"/>
        <w:keepLines/>
      </w:pPr>
      <w:r>
        <w:t>Institutional competitive sanctions require a heightened finding of systemic or contest-related harm.</w:t>
      </w:r>
    </w:p>
    <w:p>
      <w:pPr>
        <w:pStyle w:val="Heading2"/>
      </w:pPr>
      <w:r>
        <w:t>Validation status</w:t>
      </w:r>
    </w:p>
    <w:p>
      <w:r>
        <w:t>The policy choice is stated here. Legal, financial, operational, and stakeholder validation still runs through the public launch gates.</w:t>
      </w:r>
    </w:p>
    <w:p>
      <w:pPr>
        <w:pStyle w:val="DocumentLink"/>
      </w:pPr>
      <w:r>
        <w:rPr>
          <w:b/>
        </w:rPr>
        <w:t xml:space="preserve">ONLINE PATHS  </w:t>
      </w:r>
      <w:r>
        <w:t>Complete proposal chapter: bettercollegefootball.com/proposal/full#competitive-integrity-enforcement</w:t>
        <w:br/>
      </w:r>
      <w:r>
        <w:t>Two-minute brief: bettercollegefootball.com/proposal/competitive-integrity-enforcement</w:t>
        <w:br/>
      </w:r>
      <w:r>
        <w:t>Evidence and validation: bettercollegefootball.com/evidence</w:t>
      </w:r>
    </w:p>
    <w:p>
      <w:pPr>
        <w:pStyle w:val="Heading1"/>
        <w:pageBreakBefore/>
      </w:pPr>
      <w:r>
        <w:t>16  Due Process, Appeals, and Rule Stability</w:t>
      </w:r>
    </w:p>
    <w:p>
      <w:pPr>
        <w:pStyle w:val="SectionLabel"/>
        <w:spacing w:before="0"/>
      </w:pPr>
      <w:r>
        <w:t>THE GOVERNMENT  ·  CHAPTER 16</w:t>
      </w:r>
    </w:p>
    <w:p>
      <w:pPr>
        <w:spacing w:after="200"/>
      </w:pPr>
      <w:r>
        <w:rPr>
          <w:b/>
          <w:sz w:val="24"/>
        </w:rPr>
        <w:t>Meaningful enforcement earns legitimacy only when the regulator must obey its own rulebook. Speed and due process are complementary when the process is designed before the dispute.</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Separate</w:t>
            </w:r>
            <w:r>
              <w:br/>
            </w:r>
            <w:r>
              <w:rPr>
                <w:b/>
                <w:color w:val="5D6B75"/>
                <w:sz w:val="14"/>
              </w:rPr>
              <w:t>INVESTIGATOR AND JUDGE</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Written</w:t>
            </w:r>
            <w:r>
              <w:br/>
            </w:r>
            <w:r>
              <w:rPr>
                <w:b/>
                <w:color w:val="5D6B75"/>
                <w:sz w:val="14"/>
              </w:rPr>
              <w:t>EVIDENCE STANDARD</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Expedited</w:t>
            </w:r>
            <w:r>
              <w:br/>
            </w:r>
            <w:r>
              <w:rPr>
                <w:b/>
                <w:color w:val="5D6B75"/>
                <w:sz w:val="14"/>
              </w:rPr>
              <w:t>SEASON CASES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Prospective</w:t>
            </w:r>
            <w:r>
              <w:br/>
            </w:r>
            <w:r>
              <w:rPr>
                <w:b/>
                <w:color w:val="5D6B75"/>
                <w:sz w:val="14"/>
              </w:rPr>
              <w:t>MAJOR RULE CHANGES</w:t>
            </w:r>
          </w:p>
        </w:tc>
      </w:tr>
    </w:tbl>
    <w:p>
      <w:pPr>
        <w:pStyle w:val="Heading2"/>
      </w:pPr>
      <w:r>
        <w:t>Current recommendation</w:t>
      </w:r>
    </w:p>
    <w:p>
      <w:pPr>
        <w:pStyle w:val="Decision"/>
      </w:pPr>
      <w:r>
        <w:t>Separate investigator from judge, publish the rules of proof and appeal, decide season-changing cases quickly, and stop changing major competitive rules during the season.</w:t>
      </w:r>
    </w:p>
    <w:p>
      <w:pPr>
        <w:pStyle w:val="Heading2"/>
      </w:pPr>
      <w:r>
        <w:t>Why change is needed</w:t>
      </w:r>
    </w:p>
    <w:p>
      <w:r>
        <w:t>Enforcement loses legitimacy when the same body investigates, prosecutes, judges, delays, and changes the governing rule while competition is underway.</w:t>
      </w:r>
    </w:p>
    <w:p>
      <w:pPr>
        <w:pStyle w:val="Heading2"/>
      </w:pPr>
      <w:r>
        <w:t>Recommendation at a glance</w:t>
      </w:r>
    </w:p>
    <w:p>
      <w:pPr>
        <w:pStyle w:val="ListBullet"/>
        <w:keepLines/>
      </w:pPr>
      <w:r>
        <w:t>The NCAA investigates and presents major cases; an independent tribunal adjudicates them and a separate panel hears appeals.</w:t>
      </w:r>
    </w:p>
    <w:p>
      <w:pPr>
        <w:pStyle w:val="ListBullet"/>
        <w:keepLines/>
      </w:pPr>
      <w:r>
        <w:t>Every charged party receives notice, material evidence, representation, a chance to respond, and a reasoned written decision.</w:t>
      </w:r>
    </w:p>
    <w:p>
      <w:pPr>
        <w:pStyle w:val="ListBullet"/>
        <w:keepLines/>
      </w:pPr>
      <w:r>
        <w:t>Season cases use expedited clocks, while major rules lock before the season and ordinarily take effect in the next cycle.</w:t>
      </w:r>
    </w:p>
    <w:p>
      <w:pPr>
        <w:pStyle w:val="Heading2"/>
      </w:pPr>
      <w:r>
        <w:t>Why this approach</w:t>
      </w:r>
    </w:p>
    <w:p>
      <w:r>
        <w:t>Speed and fairness are compatible when deadlines, evidence standards, conflicts, confidentiality, sanctions, and remedies are designed before the dispute.</w:t>
      </w:r>
    </w:p>
    <w:p>
      <w:pPr>
        <w:pStyle w:val="SectionLabel"/>
        <w:spacing w:before="160"/>
      </w:pPr>
      <w:r>
        <w:t>THE TRADEOFF</w:t>
      </w:r>
    </w:p>
    <w:p>
      <w:pPr>
        <w:spacing w:after="160"/>
      </w:pPr>
      <w:r>
        <w:t>No rule lock can override controlling law or an urgent safety need. Genuine emergencies still require a written authority, narrow scope, transition plan, and automatic review date.</w:t>
      </w:r>
    </w:p>
    <w:p>
      <w:pPr>
        <w:pStyle w:val="SectionLabel"/>
        <w:spacing w:before="160"/>
      </w:pPr>
      <w:r>
        <w:t>IN PRACTICE</w:t>
      </w:r>
    </w:p>
    <w:p>
      <w:pPr>
        <w:spacing w:after="160"/>
      </w:pPr>
      <w:r>
        <w:t>A temporary eligibility restriction receives rapid independent review rather than lasting through the season by default; a missed decision deadline triggers disclosure and an appropriate fairness remedy.</w:t>
      </w:r>
    </w:p>
    <w:p>
      <w:pPr>
        <w:pStyle w:val="Heading2"/>
      </w:pPr>
      <w:r>
        <w:t>The proposed rule</w:t>
      </w:r>
    </w:p>
    <w:p>
      <w:pPr>
        <w:pStyle w:val="ListBullet"/>
        <w:keepLines/>
      </w:pPr>
      <w:r>
        <w:t>The NCAA investigates and presents cases; an independent College Football Competition Tribunal adjudicates major eligibility, integrity, and institutional matters.</w:t>
      </w:r>
    </w:p>
    <w:p>
      <w:pPr>
        <w:pStyle w:val="ListBullet"/>
        <w:keepLines/>
      </w:pPr>
      <w:r>
        <w:t>Every charged party receives notice, the material evidence, time to respond, counsel or representation, a hearing proportionate to the sanction, and a reasoned written decision.</w:t>
      </w:r>
    </w:p>
    <w:p>
      <w:pPr>
        <w:pStyle w:val="ListBullet"/>
        <w:keepLines/>
      </w:pPr>
      <w:r>
        <w:t>Published standards govern burden of proof, admissibility, confidentiality, conflicts, interim measures, sanctions, and appeal.</w:t>
      </w:r>
    </w:p>
    <w:p>
      <w:pPr>
        <w:pStyle w:val="ListBullet"/>
        <w:keepLines/>
      </w:pPr>
      <w:r>
        <w:t>Eligibility and integrity cases capable of changing an active season receive an expedited docket and defined deadlines.</w:t>
      </w:r>
    </w:p>
    <w:p>
      <w:pPr>
        <w:pStyle w:val="ListBullet"/>
        <w:keepLines/>
      </w:pPr>
      <w:r>
        <w:t>Major competitive rules are finalized before a published annual lock date and ordinarily take effect the following season.</w:t>
      </w:r>
    </w:p>
    <w:p>
      <w:pPr>
        <w:pStyle w:val="ListBullet"/>
        <w:keepLines/>
      </w:pPr>
      <w:r>
        <w:t>Emergency and legally required changes identify the authority, necessity, affected population, transition relief, and automatic review date.</w:t>
      </w:r>
    </w:p>
    <w:p>
      <w:pPr>
        <w:pStyle w:val="Heading2"/>
      </w:pPr>
      <w:r>
        <w:t>How the chapter works</w:t>
      </w:r>
    </w:p>
    <w:p>
      <w:pPr>
        <w:pStyle w:val="Heading3"/>
      </w:pPr>
      <w:r>
        <w:t>The regulator does not judge itself</w:t>
      </w:r>
    </w:p>
    <w:p>
      <w:r>
        <w:t>Professional investigators and enforcement counsel can remain inside the NCAA, but final adjudication belongs to an independent tribunal selected through conflict-screened, fixed-term procedures. Appeals go to a separate panel rather than the original decision-maker.</w:t>
      </w:r>
    </w:p>
    <w:p>
      <w:pPr>
        <w:pStyle w:val="Heading3"/>
      </w:pPr>
      <w:r>
        <w:t>A clock for every case</w:t>
      </w:r>
    </w:p>
    <w:p>
      <w:r>
        <w:t>Routine, eligibility, and competitive-integrity matters require different schedules, but none should remain a multiyear mystery. Missed deadlines produce disclosure and, when fairness requires, a remedy rather than silent extension.</w:t>
      </w:r>
    </w:p>
    <w:p>
      <w:pPr>
        <w:pStyle w:val="Heading3"/>
      </w:pPr>
      <w:r>
        <w:t>Protect the season without defying the law</w:t>
      </w:r>
    </w:p>
    <w:p>
      <w:r>
        <w:t>Courts cannot be barred from enforcing legal rights during football season. The sport can nevertheless publish rules early, test their authority, create rapid internal review, use prospective effective dates, and avoid forcing disputes into emergency litigation.</w:t>
      </w:r>
    </w:p>
    <w:p>
      <w:pPr>
        <w:pStyle w:val="Heading3"/>
      </w:pPr>
      <w:r>
        <w:t>Public consistency ledger</w:t>
      </w:r>
    </w:p>
    <w:p>
      <w:r>
        <w:t>Final decisions, anonymized when necessary, identify the rule, evidence standard, findings, sanction range, departure reasons, and appeal outcome. Readers can compare like cases without exposing unrelated private records.</w:t>
      </w:r>
    </w:p>
    <w:p>
      <w:pPr>
        <w:pStyle w:val="Heading2"/>
      </w:pPr>
      <w:r>
        <w:t>Decisions already made</w:t>
      </w:r>
    </w:p>
    <w:p>
      <w:pPr>
        <w:pStyle w:val="Heading3"/>
      </w:pPr>
      <w:r>
        <w:t>Who appoints and funds the tribunal while preserving independence?</w:t>
      </w:r>
    </w:p>
    <w:p>
      <w:r>
        <w:t>A conflict-screened nominating commission appoints fixed-term tribunal members. A protected assessment finances a separate operating trust, and neither investigators nor a party to a case can adjust funding or remove a member because of a decision.</w:t>
      </w:r>
    </w:p>
    <w:p>
      <w:pPr>
        <w:pStyle w:val="Heading3"/>
      </w:pPr>
      <w:r>
        <w:t>What deadlines are realistic for ordinary, eligibility, and Category I cases?</w:t>
      </w:r>
    </w:p>
    <w:p>
      <w:r>
        <w:t>The operating targets are a 72-hour review of an interim restriction, a final individual-eligibility decision within 21 days of a complete record, a Category I charging decision within 90 days of formal notice, and a season-affecting appeal within 14 days. A missed target requires public notice and a written fairness remedy; pilots must validate the clocks before they become binding.</w:t>
      </w:r>
    </w:p>
    <w:p>
      <w:pPr>
        <w:pStyle w:val="Heading3"/>
      </w:pPr>
      <w:r>
        <w:t>Which records must remain confidential to protect athletes, witnesses, and lawful investigations?</w:t>
      </w:r>
    </w:p>
    <w:p>
      <w:r>
        <w:t>Medical, education, biometric, identifying, privileged, and protected whistleblower records remain confidential. Final findings, rules applied, evidence standards, sanctions, departures, and appeal outcomes are public with necessary redactions.</w:t>
      </w:r>
    </w:p>
    <w:p>
      <w:pPr>
        <w:pStyle w:val="Heading2"/>
      </w:pPr>
      <w:r>
        <w:t>Safeguards</w:t>
      </w:r>
    </w:p>
    <w:p>
      <w:pPr>
        <w:pStyle w:val="ListBullet"/>
        <w:keepLines/>
      </w:pPr>
      <w:r>
        <w:t>Tribunal members disclose conflicts and cannot simultaneously serve the investigating body or a directly interested institution.</w:t>
      </w:r>
    </w:p>
    <w:p>
      <w:pPr>
        <w:pStyle w:val="ListBullet"/>
        <w:keepLines/>
      </w:pPr>
      <w:r>
        <w:t>Temporary eligibility restrictions require a written necessity finding and rapid review.</w:t>
      </w:r>
    </w:p>
    <w:p>
      <w:pPr>
        <w:pStyle w:val="ListBullet"/>
        <w:keepLines/>
      </w:pPr>
      <w:r>
        <w:t>Comparable cases and sanction departures appear in an annual consistency audit.</w:t>
      </w:r>
    </w:p>
    <w:p>
      <w:pPr>
        <w:pStyle w:val="ListBullet"/>
        <w:keepLines/>
      </w:pPr>
      <w:r>
        <w:t>Rule locks never override a court order, athlete safety emergency, or controlling law.</w:t>
      </w:r>
    </w:p>
    <w:p>
      <w:pPr>
        <w:pStyle w:val="Heading2"/>
      </w:pPr>
      <w:r>
        <w:t>Validation status</w:t>
      </w:r>
    </w:p>
    <w:p>
      <w:r>
        <w:t>The policy choice is stated here. Legal, financial, operational, and stakeholder validation still runs through the public launch gates.</w:t>
      </w:r>
    </w:p>
    <w:p>
      <w:pPr>
        <w:pStyle w:val="DocumentLink"/>
      </w:pPr>
      <w:r>
        <w:rPr>
          <w:b/>
        </w:rPr>
        <w:t xml:space="preserve">ONLINE PATHS  </w:t>
      </w:r>
      <w:r>
        <w:t>Complete proposal chapter: bettercollegefootball.com/proposal/full#due-process-rule-stability</w:t>
        <w:br/>
      </w:r>
      <w:r>
        <w:t>Two-minute brief: bettercollegefootball.com/proposal/due-process-rule-stability</w:t>
        <w:br/>
      </w:r>
      <w:r>
        <w:t>Evidence and validation: bettercollegefootball.com/evidence</w:t>
      </w:r>
    </w:p>
    <w:p>
      <w:pPr>
        <w:pStyle w:val="Heading1"/>
        <w:pageBreakBefore/>
      </w:pPr>
      <w:r>
        <w:t>17  Economics, Transition, and Independent Validation</w:t>
      </w:r>
    </w:p>
    <w:p>
      <w:pPr>
        <w:pStyle w:val="SectionLabel"/>
        <w:spacing w:before="0"/>
      </w:pPr>
      <w:r>
        <w:t>THE GOVERNMENT  ·  CHAPTER 17</w:t>
      </w:r>
    </w:p>
    <w:p>
      <w:pPr>
        <w:spacing w:after="200"/>
      </w:pPr>
      <w:r>
        <w:rPr>
          <w:b/>
          <w:sz w:val="24"/>
        </w:rPr>
        <w:t>The financial case is whether the complete schedule can fund its commitments while preserving earned competitive rewards. More games or more host-city spending cannot establish that on their own. Financial feasibility remains unproved, and all seven launch gates still apply.</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4</w:t>
            </w:r>
            <w:r>
              <w:br/>
            </w:r>
            <w:r>
              <w:rPr>
                <w:b/>
                <w:color w:val="5D6B75"/>
                <w:sz w:val="14"/>
              </w:rPr>
              <w:t>IMPLEMENTATION PHASES</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7</w:t>
            </w:r>
            <w:r>
              <w:br/>
            </w:r>
            <w:r>
              <w:rPr>
                <w:b/>
                <w:color w:val="5D6B75"/>
                <w:sz w:val="14"/>
              </w:rPr>
              <w:t>LAUNCH GATES</w:t>
            </w:r>
          </w:p>
        </w:tc>
        <w:tc>
          <w:tcPr>
            <w:tcW w:type="dxa" w:w="2448"/>
            <w:shd w:fill="EAF2F7"/>
            <w:tcBorders>
              <w:top w:val="single" w:sz="12" w:color="176AA0"/>
              <w:bottom w:val="single" w:sz="6" w:color="C7D0D6"/>
              <w:left w:val="single" w:sz="4" w:color="C7D0D6"/>
              <w:right w:val="single" w:sz="4" w:color="C7D0D6"/>
            </w:tcBorders>
          </w:tcPr>
          <w:p>
            <w:pPr>
              <w:spacing w:after="20"/>
              <w:jc w:val="center"/>
            </w:pPr>
            <w:r>
              <w:rPr>
                <w:b/>
                <w:color w:val="06263F"/>
                <w:sz w:val="30"/>
              </w:rPr>
              <w:t>Annual</w:t>
            </w:r>
            <w:r>
              <w:br/>
            </w:r>
            <w:r>
              <w:rPr>
                <w:b/>
                <w:color w:val="5D6B75"/>
                <w:sz w:val="14"/>
              </w:rPr>
              <w:t>PUBLIC AUDIT</w:t>
            </w:r>
          </w:p>
        </w:tc>
        <w:tc>
          <w:tcPr>
            <w:tcW w:type="dxa" w:w="2448"/>
            <w:shd w:fill="FFFFFF"/>
            <w:tcBorders>
              <w:top w:val="single" w:sz="12" w:color="176AA0"/>
              <w:bottom w:val="single" w:sz="6" w:color="C7D0D6"/>
              <w:left w:val="single" w:sz="4" w:color="C7D0D6"/>
              <w:right w:val="single" w:sz="4" w:color="C7D0D6"/>
            </w:tcBorders>
          </w:tcPr>
          <w:p>
            <w:pPr>
              <w:spacing w:after="20"/>
              <w:jc w:val="center"/>
            </w:pPr>
            <w:r>
              <w:rPr>
                <w:b/>
                <w:color w:val="06263F"/>
                <w:sz w:val="30"/>
              </w:rPr>
              <w:t>No</w:t>
            </w:r>
            <w:r>
              <w:br/>
            </w:r>
            <w:r>
              <w:rPr>
                <w:b/>
                <w:color w:val="5D6B75"/>
                <w:sz w:val="14"/>
              </w:rPr>
              <w:t>MIDSEASON REWRITE</w:t>
            </w:r>
          </w:p>
        </w:tc>
      </w:tr>
    </w:tbl>
    <w:p>
      <w:pPr>
        <w:pStyle w:val="Heading2"/>
      </w:pPr>
      <w:r>
        <w:t>Current recommendation</w:t>
      </w:r>
    </w:p>
    <w:p>
      <w:pPr>
        <w:pStyle w:val="Decision"/>
      </w:pPr>
      <w:r>
        <w:t>Require a complete financial case before adoption: show what each party keeps, fund the promised athlete experience, and assign responsibility for shortfalls. All seven independent launch gates remain conditions of adoption.</w:t>
      </w:r>
    </w:p>
    <w:p>
      <w:pPr>
        <w:pStyle w:val="Heading2"/>
      </w:pPr>
      <w:r>
        <w:t>Why change is needed</w:t>
      </w:r>
    </w:p>
    <w:p>
      <w:r>
        <w:t>Bowl revenue, campus ticket sales and local economic impact often measure different things. None alone tells us whether schools can pay for the full schedule or whether athletes receive the promised support.</w:t>
      </w:r>
    </w:p>
    <w:p>
      <w:pPr>
        <w:pStyle w:val="Heading2"/>
      </w:pPr>
      <w:r>
        <w:t>Recommendation at a glance</w:t>
      </w:r>
    </w:p>
    <w:p>
      <w:pPr>
        <w:pStyle w:val="ListBullet"/>
        <w:keepLines/>
      </w:pPr>
      <w:r>
        <w:t>Compare campus and bowl games at the same round and date, tracing retained receipts and required costs to the party that earns or pays them.</w:t>
      </w:r>
    </w:p>
    <w:p>
      <w:pPr>
        <w:pStyle w:val="ListBullet"/>
        <w:keepLines/>
      </w:pPr>
      <w:r>
        <w:t>Budget the 17-game CFP and 15-game National Tournament together, keeping their demand assumptions distinct and defining other bowls separately.</w:t>
      </w:r>
    </w:p>
    <w:p>
      <w:pPr>
        <w:pStyle w:val="ListBullet"/>
        <w:keepLines/>
      </w:pPr>
      <w:r>
        <w:t>Fund athlete obligations before discretionary distributions, protect earned byes, and test lower receipts, higher costs and late payments against committed funding.</w:t>
      </w:r>
    </w:p>
    <w:p>
      <w:pPr>
        <w:pStyle w:val="Heading2"/>
      </w:pPr>
      <w:r>
        <w:t>Why this approach</w:t>
      </w:r>
    </w:p>
    <w:p>
      <w:r>
        <w:t>The proposal preserves six playoff bowls and gives later campus games a competitive purpose. Its financial case must show that these choices can support the whole system, not simply generate a larger headline revenue figure.</w:t>
      </w:r>
    </w:p>
    <w:p>
      <w:pPr>
        <w:pStyle w:val="SectionLabel"/>
        <w:spacing w:before="160"/>
      </w:pPr>
      <w:r>
        <w:t>THE TRADEOFF</w:t>
      </w:r>
    </w:p>
    <w:p>
      <w:pPr>
        <w:spacing w:after="160"/>
      </w:pPr>
      <w:r>
        <w:t>A venue can benefit its host city while leaving schools with less usable cash. Extra games add costs as well as potential receipts. The evidence may require changing a venue, payment term or launch timetable; financial superiority has not been proved.</w:t>
      </w:r>
    </w:p>
    <w:p>
      <w:pPr>
        <w:pStyle w:val="SectionLabel"/>
        <w:spacing w:before="160"/>
      </w:pPr>
      <w:r>
        <w:t>IN PRACTICE</w:t>
      </w:r>
    </w:p>
    <w:p>
      <w:pPr>
        <w:spacing w:after="160"/>
      </w:pPr>
      <w:r>
        <w:t>A neutral event’s visitor-spending estimate cannot fill a school travel budget. That budget needs an actual payment entitlement, funded amount and receipt date. The four implementation phases proceed to launch only after all seven published gates pass.</w:t>
      </w:r>
    </w:p>
    <w:p>
      <w:pPr>
        <w:pStyle w:val="Heading2"/>
      </w:pPr>
      <w:r>
        <w:t>Budgets and supporting evidence</w:t>
      </w:r>
    </w:p>
    <w:p>
      <w:r>
        <w:t>Complete tournament budget</w:t>
      </w:r>
    </w:p>
    <w:p>
      <w:pPr>
        <w:pStyle w:val="DocumentLink"/>
      </w:pPr>
      <w:r>
        <w:t>bettercollegefootball.com/evidence/economics#ecosystem-budget</w:t>
      </w:r>
    </w:p>
    <w:p>
      <w:r>
        <w:t>School cash and hosting comparisons</w:t>
      </w:r>
    </w:p>
    <w:p>
      <w:pPr>
        <w:pStyle w:val="DocumentLink"/>
      </w:pPr>
      <w:r>
        <w:t>bettercollegefootball.com/evidence/economics#school-cases</w:t>
      </w:r>
    </w:p>
    <w:p>
      <w:r>
        <w:t>Bowl economics</w:t>
      </w:r>
    </w:p>
    <w:p>
      <w:pPr>
        <w:pStyle w:val="DocumentLink"/>
      </w:pPr>
      <w:r>
        <w:t>bettercollegefootball.com/evidence/economics#bowl-economics</w:t>
      </w:r>
    </w:p>
    <w:p>
      <w:r>
        <w:t>Media and calendar</w:t>
      </w:r>
    </w:p>
    <w:p>
      <w:pPr>
        <w:pStyle w:val="DocumentLink"/>
      </w:pPr>
      <w:r>
        <w:t>bettercollegefootball.com/evidence/economics#media-calendar</w:t>
      </w:r>
    </w:p>
    <w:p>
      <w:r>
        <w:t>Athlete and student access costs</w:t>
      </w:r>
    </w:p>
    <w:p>
      <w:pPr>
        <w:pStyle w:val="DocumentLink"/>
      </w:pPr>
      <w:r>
        <w:t>bettercollegefootball.com/evidence/economics#access-costs</w:t>
      </w:r>
    </w:p>
    <w:p>
      <w:r>
        <w:t>Payments and conference sharing</w:t>
      </w:r>
    </w:p>
    <w:p>
      <w:pPr>
        <w:pStyle w:val="DocumentLink"/>
      </w:pPr>
      <w:r>
        <w:t>bettercollegefootball.com/evidence/economics#distributions</w:t>
      </w:r>
    </w:p>
    <w:p>
      <w:r>
        <w:t>Downside and cash timing tests</w:t>
      </w:r>
    </w:p>
    <w:p>
      <w:pPr>
        <w:pStyle w:val="DocumentLink"/>
      </w:pPr>
      <w:r>
        <w:t>bettercollegefootball.com/evidence/economics#downside-tests</w:t>
      </w:r>
    </w:p>
    <w:p>
      <w:r>
        <w:t>Sources and unresolved decisions</w:t>
      </w:r>
    </w:p>
    <w:p>
      <w:pPr>
        <w:pStyle w:val="DocumentLink"/>
      </w:pPr>
      <w:r>
        <w:t>bettercollegefootball.com/evidence/economics#decisions-upkeep</w:t>
      </w:r>
    </w:p>
    <w:p>
      <w:pPr>
        <w:pStyle w:val="Heading2"/>
      </w:pPr>
      <w:r>
        <w:t>The proposed rule</w:t>
      </w:r>
    </w:p>
    <w:p>
      <w:pPr>
        <w:pStyle w:val="ListBullet"/>
        <w:keepLines/>
      </w:pPr>
      <w:r>
        <w:t>Phase 1 completes authority, legal, labor, financial, athlete-rights, and evidence design for all three layers.</w:t>
      </w:r>
    </w:p>
    <w:p>
      <w:pPr>
        <w:pStyle w:val="ListBullet"/>
        <w:keepLines/>
      </w:pPr>
      <w:r>
        <w:t>Phase 2 pilots public ranking, calendar, disclosure, agreement, and adjudication systems without forcing immediate national adoption.</w:t>
      </w:r>
    </w:p>
    <w:p>
      <w:pPr>
        <w:pStyle w:val="ListBullet"/>
        <w:keepLines/>
      </w:pPr>
      <w:r>
        <w:t>Phase 3 negotiates collective, legislative, contractual, provider, conference, CFP, NFL, and institution-specific requirements.</w:t>
      </w:r>
    </w:p>
    <w:p>
      <w:pPr>
        <w:pStyle w:val="ListBullet"/>
        <w:keepLines/>
      </w:pPr>
      <w:r>
        <w:t>Phase 4 launches only after the published gates pass and the current season has fully concluded.</w:t>
      </w:r>
    </w:p>
    <w:p>
      <w:pPr>
        <w:pStyle w:val="ListBullet"/>
        <w:keepLines/>
      </w:pPr>
      <w:r>
        <w:t>Athlete travel, insurance, health, family assistance, education, representation, and transition obligations are funded before discretionary distributions.</w:t>
      </w:r>
    </w:p>
    <w:p>
      <w:pPr>
        <w:pStyle w:val="ListBullet"/>
        <w:keepLines/>
      </w:pPr>
      <w:r>
        <w:t>Every material assumption, failed gate, pilot result, amendment, and unresolved conflict remains in the public record.</w:t>
      </w:r>
    </w:p>
    <w:p>
      <w:pPr>
        <w:pStyle w:val="Heading2"/>
      </w:pPr>
      <w:r>
        <w:t>How the chapter works</w:t>
      </w:r>
    </w:p>
    <w:p>
      <w:pPr>
        <w:pStyle w:val="Heading3"/>
      </w:pPr>
      <w:r>
        <w:t>The financial argument</w:t>
      </w:r>
    </w:p>
    <w:p>
      <w:r>
        <w:t>The proposed 18-team CFP gives six bowls a dedicated round and returns later games to campus. Those choices have a competitive purpose, but each also changes who earns money and who incurs costs. Test the entire arrangement before adoption rather than assume that a larger field or a neutral venue produces a better financial outcome. A viable plan must pay for the promised experience when it is needed and remain affordable when demand disappoints.</w:t>
      </w:r>
    </w:p>
    <w:p>
      <w:pPr>
        <w:pStyle w:val="Heading3"/>
      </w:pPr>
      <w:r>
        <w:t>What each party actually keeps</w:t>
      </w:r>
    </w:p>
    <w:p>
      <w:r>
        <w:t>School receipts, bowl-operator returns, broadcaster value and local economic activity answer different questions. Trace rights, tickets, sponsorship, hospitality and public support to the entity entitled to retain each receipt, then subtract its costs. A conference payment is income for the receiving school but an internal transfer in a combined budget. Visitor spending is not a school payout. Funding authorized for an event is not proof that it was paid. These distinctions prevent the same benefit from being counted twice.</w:t>
      </w:r>
    </w:p>
    <w:p>
      <w:pPr>
        <w:pStyle w:val="Heading3"/>
      </w:pPr>
      <w:r>
        <w:t>Compare campus and bowl games fairly</w:t>
      </w:r>
    </w:p>
    <w:p>
      <w:r>
        <w:t>Compare the same round, plausible matchup, date window and service commitments under both venue options. Include retained receipts, travel, event operations, student access, family assistance where adopted, and contract transition costs. Test the six bowls in their proposed earlier round instead of borrowing the return of a different championship event. A venue recommendation should change if comparable evidence shows it cannot meet the financial and access requirements.</w:t>
      </w:r>
    </w:p>
    <w:p>
      <w:pPr>
        <w:pStyle w:val="Heading3"/>
      </w:pPr>
      <w:r>
        <w:t>Fund the full competition calendar</w:t>
      </w:r>
    </w:p>
    <w:p>
      <w:r>
        <w:t>The 17-game CFP and 15-game National Tournament create 32 tournament games. Give the National Tournament its own demand assumptions and operating budget instead of assigning it a CFP audience or payout. Define voluntary bowl inventory separately. Include one-time transition costs, recurring operations, shared athlete services and governance costs. A proposed broadcast window does not establish a new rights payment; displaced inventory and existing agreements must be reconciled before claiming additional value.</w:t>
      </w:r>
    </w:p>
    <w:p>
      <w:pPr>
        <w:pStyle w:val="Heading3"/>
      </w:pPr>
      <w:r>
        <w:t>Protect the rewards for a stronger season</w:t>
      </w:r>
    </w:p>
    <w:p>
      <w:r>
        <w:t>Separate participation expenses, hosting reimbursement, advancement rewards and shared distributions. An earned bye should not leave a team with an unfunded obligation or make an unnecessary game financially preferable. Fund mandatory athlete protections before discretionary distributions, identify the payer and deadline for each commitment, and negotiate sharing terms openly. No new sharing percentage or agreed payment formula is established here.</w:t>
      </w:r>
    </w:p>
    <w:p>
      <w:pPr>
        <w:pStyle w:val="Heading3"/>
      </w:pPr>
      <w:r>
        <w:t>Who pays if the plan underperforms</w:t>
      </w:r>
    </w:p>
    <w:p>
      <w:r>
        <w:t>Test lower attendance and receipts alongside higher costs and delayed payments. Each entity needs accessible cash to meet its deadlines even when the combined annual budget appears positive. A reserve or shortfall backstop requires an identified funder, enforceable terms and authority to release the money. Do not cut promised athlete services to balance an adverse case. If the responsible parties cannot fund the commitments, reviewers must return the financial gate for correction or stop launch.</w:t>
      </w:r>
    </w:p>
    <w:p>
      <w:pPr>
        <w:pStyle w:val="Heading3"/>
      </w:pPr>
      <w:r>
        <w:t>What the evidence establishes so far</w:t>
      </w:r>
    </w:p>
    <w:p>
      <w:r>
        <w:t>The public record provides reconciled game counts, school benchmarks, bounded worksheets and a source trail. It does not yet establish a matched campus-versus-bowl cash verdict, secured incremental media payments, an agreed distribution formula or committed shortfall funding. Missing inputs remain unresolved. The supporting evidence below supplies the detailed tests; better records can change the recommendation.</w:t>
      </w:r>
    </w:p>
    <w:p>
      <w:pPr>
        <w:pStyle w:val="Heading3"/>
      </w:pPr>
      <w:r>
        <w:t>One implementation map</w:t>
      </w:r>
    </w:p>
    <w:p>
      <w:r>
        <w:t>The Game, Market, and Government cannot be adopted on separate islands. Postseason inventory affects workload and media value; agreements affect transfer windows; eligibility affects roster planning; enforcement authority affects whether any rule is real.</w:t>
      </w:r>
    </w:p>
    <w:p>
      <w:pPr>
        <w:pStyle w:val="Heading3"/>
      </w:pPr>
      <w:r>
        <w:t>The seven launch gates</w:t>
      </w:r>
    </w:p>
    <w:p>
      <w:r>
        <w:t>Phase 4 cannot begin until each gate has a written finding from an independent or conflict-screened reviewer, every material condition is funded, and the public record shows both the evidence considered and the remaining limits. A gate is passed, failed, or returned for correction; an 'in progress' label does not authorize partial enforcement.</w:t>
      </w:r>
    </w:p>
    <w:p>
      <w:pPr>
        <w:pStyle w:val="ListBullet"/>
        <w:keepLines/>
      </w:pPr>
      <w:r>
        <w:t>Legal authority: identify and review the actual source of power for every national rule, restriction, information demand, and sanction.</w:t>
      </w:r>
    </w:p>
    <w:p>
      <w:pPr>
        <w:pStyle w:val="ListBullet"/>
        <w:keepLines/>
      </w:pPr>
      <w:r>
        <w:t>Athlete representation: give current athletes substantive participation in design, negotiation, administration, review, and amendment.</w:t>
      </w:r>
    </w:p>
    <w:p>
      <w:pPr>
        <w:pStyle w:val="ListBullet"/>
        <w:keepLines/>
      </w:pPr>
      <w:r>
        <w:t>Athlete welfare: fund health, insurance, travel, recovery, academic, family-assistance, data, and post-eligibility obligations before discretionary distributions.</w:t>
      </w:r>
    </w:p>
    <w:p>
      <w:pPr>
        <w:pStyle w:val="ListBullet"/>
        <w:keepLines/>
      </w:pPr>
      <w:r>
        <w:t>Financial durability: test rights value, provider costs, institutional burdens, downside cases, reserves, and protected funding with credible inputs.</w:t>
      </w:r>
    </w:p>
    <w:p>
      <w:pPr>
        <w:pStyle w:val="ListBullet"/>
        <w:keepLines/>
      </w:pPr>
      <w:r>
        <w:t>Competitive validation: test the playoff, National Tournament, schedule, ranking model, title protections, roster calendar, workload, and access across historical and live shadow seasons.</w:t>
      </w:r>
    </w:p>
    <w:p>
      <w:pPr>
        <w:pStyle w:val="ListBullet"/>
        <w:keepLines/>
      </w:pPr>
      <w:r>
        <w:t>Operational readiness: certify hosts, schools, conferences, officials, broadcasters, technology, case administration, and appeals against the published standards.</w:t>
      </w:r>
    </w:p>
    <w:p>
      <w:pPr>
        <w:pStyle w:val="ListBullet"/>
        <w:keepLines/>
      </w:pPr>
      <w:r>
        <w:t>Public accountability: preserve assumptions, pilot results, failed gates, amendments, conflicts, decisions, dissents, and annual audits in a durable record.</w:t>
      </w:r>
    </w:p>
    <w:p>
      <w:pPr>
        <w:pStyle w:val="Heading3"/>
      </w:pPr>
      <w:r>
        <w:t>Test the legal foundation, not only the idea</w:t>
      </w:r>
    </w:p>
    <w:p>
      <w:r>
        <w:t>Player agreements, compensation disclosure, roster rules, transfer restrictions, agent regulation, and national authority may require bargaining, employment classification, federal legislation, antitrust protection, or voluntary contractual accession. The website does not claim those foundations already exist.</w:t>
      </w:r>
    </w:p>
    <w:p>
      <w:pPr>
        <w:pStyle w:val="Heading3"/>
      </w:pPr>
      <w:r>
        <w:t>Independent review protocol</w:t>
      </w:r>
    </w:p>
    <w:p>
      <w:r>
        <w:t>Outside review must be structured to find failure, not to create an endorsement line. Counsel and subject-matter reviewers disclose clients, institutional ties, funding, litigation roles, and other conflicts before assignment. Their written mandate identifies the complete record they received, the questions they were asked to test, the information withheld, the assumptions used, and the conditions that would stop or narrow the proposal. The public summary preserves material disagreements and never presents a memorandum, interview, pilot, or consultation as approval by an athlete, institution, regulator, court, league, union, or reviewer.</w:t>
      </w:r>
    </w:p>
    <w:p>
      <w:pPr>
        <w:pStyle w:val="Heading3"/>
      </w:pPr>
      <w:r>
        <w:t>Pilot before power</w:t>
      </w:r>
    </w:p>
    <w:p>
      <w:r>
        <w:t>The first live season should test dashboards, written standards, transaction timing, case clocks, conflict processes, and public audits without pretending a prototype can compel institutions. Independent reviewers publish whether the system met its own targets.</w:t>
      </w:r>
    </w:p>
    <w:p>
      <w:pPr>
        <w:pStyle w:val="Heading3"/>
      </w:pPr>
      <w:r>
        <w:t>Transition by cohort and cycle</w:t>
      </w:r>
    </w:p>
    <w:p>
      <w:r>
        <w:t>Eligibility, agreements, roster limits, disclosures, and sanctions need clear grandfathering and future effective dates. No athlete or school should discover after competition begins that the population, contract, or penalty system has changed retroactively.</w:t>
      </w:r>
    </w:p>
    <w:p>
      <w:pPr>
        <w:pStyle w:val="Heading3"/>
      </w:pPr>
      <w:r>
        <w:t>Require one reconciled financial launch case</w:t>
      </w:r>
    </w:p>
    <w:p>
      <w:r>
        <w:t>The launch record must reconcile the 17-game CFP and 15-game National Tournament, separately define any voluntary bowl inventory, and distinguish one-time adoption costs from recurring operations. Price shared athlete and governance obligations once; eliminate transfers when consolidating while preserving each entity's ability to pay on time. Combine weaker demand, lower receipts, higher costs and delayed payments in downside tests. Identify accessible reserves and binding shortfall commitments before approval. The published worksheets establish a review structure, not financial feasibility: prices, settlements and committed funding remain unresolved.</w:t>
      </w:r>
    </w:p>
    <w:p>
      <w:pPr>
        <w:pStyle w:val="Heading2"/>
      </w:pPr>
      <w:r>
        <w:t>Decisions already made</w:t>
      </w:r>
    </w:p>
    <w:p>
      <w:pPr>
        <w:pStyle w:val="Heading3"/>
      </w:pPr>
      <w:r>
        <w:t>Which layer can be piloted first without creating false expectations or legal risk?</w:t>
      </w:r>
    </w:p>
    <w:p>
      <w:r>
        <w:t>Begin with nonbinding public infrastructure: the rankings audit, calendar simulation, disclosure templates, case-clock exercises, and authority ledger. Compulsory market restraints and binding player agreements wait for lawful authority and representation.</w:t>
      </w:r>
    </w:p>
    <w:p>
      <w:pPr>
        <w:pStyle w:val="Heading3"/>
      </w:pPr>
      <w:r>
        <w:t>Who bears downside costs if new inventory fails to fund the promised athlete protections?</w:t>
      </w:r>
    </w:p>
    <w:p>
      <w:r>
        <w:t>Athlete protections are funded first and cannot be the balancing item. The implementation reserve, participating institutions, rights holders, and operators bear agreed downside risk before discretionary distributions are reduced.</w:t>
      </w:r>
    </w:p>
    <w:p>
      <w:pPr>
        <w:pStyle w:val="Heading3"/>
      </w:pPr>
      <w:r>
        <w:t>Which institutions and athlete representatives must consent before a national launch?</w:t>
      </w:r>
    </w:p>
    <w:p>
      <w:r>
        <w:t>Launch requires the NCAA authority holder, CFP parties, participating FBS conferences and independents, and a substantively representative athlete body for rules affecting athletes, plus any bargaining, legislative, media, venue, or professional-football counterpart whose rights are implicated.</w:t>
      </w:r>
    </w:p>
    <w:p>
      <w:pPr>
        <w:pStyle w:val="Heading2"/>
      </w:pPr>
      <w:r>
        <w:t>Safeguards</w:t>
      </w:r>
    </w:p>
    <w:p>
      <w:pPr>
        <w:pStyle w:val="ListBullet"/>
        <w:keepLines/>
      </w:pPr>
      <w:r>
        <w:t>Independent legal, labor, welfare, financial, competitive, and host reviews can stop or amend adoption.</w:t>
      </w:r>
    </w:p>
    <w:p>
      <w:pPr>
        <w:pStyle w:val="ListBullet"/>
        <w:keepLines/>
      </w:pPr>
      <w:r>
        <w:t>The website distinguishes a policy recommendation from existing law or institutional approval.</w:t>
      </w:r>
    </w:p>
    <w:p>
      <w:pPr>
        <w:pStyle w:val="ListBullet"/>
        <w:keepLines/>
      </w:pPr>
      <w:r>
        <w:t>Every pilot has a sunset, published success measures, and an exit plan.</w:t>
      </w:r>
    </w:p>
    <w:p>
      <w:pPr>
        <w:pStyle w:val="ListBullet"/>
        <w:keepLines/>
      </w:pPr>
      <w:r>
        <w:t>The website and downloadable complete proposal are generated from the same 17-chapter public record; a release does not ship if their substantive chapter text diverges.</w:t>
      </w:r>
    </w:p>
    <w:p>
      <w:pPr>
        <w:pStyle w:val="Heading2"/>
      </w:pPr>
      <w:r>
        <w:t>Questions reserved for validation</w:t>
      </w:r>
    </w:p>
    <w:p>
      <w:pPr>
        <w:pStyle w:val="ListBullet"/>
        <w:keepLines/>
      </w:pPr>
      <w:r>
        <w:t>What negotiated or legislative foundation is required for enforceable player-school agreements?</w:t>
      </w:r>
    </w:p>
    <w:p>
      <w:pPr>
        <w:pStyle w:val="DocumentLink"/>
      </w:pPr>
      <w:r>
        <w:rPr>
          <w:b/>
        </w:rPr>
        <w:t xml:space="preserve">ONLINE PATHS  </w:t>
      </w:r>
      <w:r>
        <w:t>Complete proposal chapter: bettercollegefootball.com/proposal/full#economics-transition-validation</w:t>
        <w:br/>
      </w:r>
      <w:r>
        <w:t>Two-minute brief: bettercollegefootball.com/proposal/economics-transition-validation</w:t>
        <w:br/>
      </w:r>
      <w:r>
        <w:t>Evidence and validation: bettercollegefootball.com/evidence</w:t>
      </w:r>
    </w:p>
    <w:p>
      <w:pPr>
        <w:pStyle w:val="Heading1"/>
      </w:pPr>
      <w:r>
        <w:t>Supporting record</w:t>
      </w:r>
    </w:p>
    <w:p>
      <w:r>
        <w:t>The chapters above state the policy. The live record below contains the public tools, completed analyses, source library, implementation work, and companion drafts used to test or carry out that policy. A linked analysis supports only the claim it names; it does not validate the complete proposal.</w:t>
      </w:r>
    </w:p>
    <w:p>
      <w:pPr>
        <w:pStyle w:val="Heading2"/>
      </w:pPr>
      <w:r>
        <w:t>Live systems and public paths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088"/>
            <w:shd w:fill="06263F"/>
          </w:tcPr>
          <w:p>
            <w:r>
              <w:rPr>
                <w:b/>
                <w:color w:val="FFFFFF"/>
              </w:rPr>
              <w:t>Destination</w:t>
            </w:r>
          </w:p>
        </w:tc>
        <w:tc>
          <w:tcPr>
            <w:tcW w:type="dxa" w:w="4824"/>
            <w:shd w:fill="06263F"/>
          </w:tcPr>
          <w:p>
            <w:r>
              <w:rPr>
                <w:b/>
                <w:color w:val="FFFFFF"/>
              </w:rPr>
              <w:t>Purpose</w:t>
            </w:r>
          </w:p>
        </w:tc>
        <w:tc>
          <w:tcPr>
            <w:tcW w:type="dxa" w:w="2880"/>
            <w:shd w:fill="06263F"/>
          </w:tcPr>
          <w:p>
            <w:r>
              <w:rPr>
                <w:b/>
                <w:color w:val="FFFFFF"/>
              </w:rPr>
              <w:t>Address</w:t>
            </w:r>
          </w:p>
        </w:tc>
      </w:tr>
      <w:tr>
        <w:tc>
          <w:tcPr>
            <w:tcW w:type="dxa" w:w="2088"/>
            <w:shd w:fill="EAF2F7"/>
            <w:tcBorders>
              <w:bottom w:val="single" w:sz="6" w:color="C7D0D6"/>
            </w:tcBorders>
          </w:tcPr>
          <w:p>
            <w:r>
              <w:rPr>
                <w:b/>
              </w:rPr>
              <w:t>Complete proposal</w:t>
            </w:r>
          </w:p>
        </w:tc>
        <w:tc>
          <w:tcPr>
            <w:tcW w:type="dxa" w:w="4824"/>
            <w:shd w:fill="EAF2F7"/>
            <w:tcBorders>
              <w:bottom w:val="single" w:sz="6" w:color="C7D0D6"/>
            </w:tcBorders>
          </w:tcPr>
          <w:p>
            <w:r>
              <w:t>The continuous 17-chapter policy record</w:t>
            </w:r>
          </w:p>
        </w:tc>
        <w:tc>
          <w:tcPr>
            <w:tcW w:type="dxa" w:w="2880"/>
            <w:shd w:fill="EAF2F7"/>
            <w:tcBorders>
              <w:bottom w:val="single" w:sz="6" w:color="C7D0D6"/>
            </w:tcBorders>
          </w:tcPr>
          <w:p>
            <w:r>
              <w:rPr>
                <w:color w:val="176AA0"/>
                <w:sz w:val="16"/>
              </w:rPr>
              <w:t>bettercollegefootball.com/proposal/full</w:t>
            </w:r>
          </w:p>
        </w:tc>
      </w:tr>
      <w:tr>
        <w:tc>
          <w:tcPr>
            <w:tcW w:type="dxa" w:w="2088"/>
            <w:shd w:fill="FFFFFF"/>
            <w:tcBorders>
              <w:bottom w:val="single" w:sz="6" w:color="C7D0D6"/>
            </w:tcBorders>
          </w:tcPr>
          <w:p>
            <w:r>
              <w:rPr>
                <w:b/>
              </w:rPr>
              <w:t>Proposal overview</w:t>
            </w:r>
          </w:p>
        </w:tc>
        <w:tc>
          <w:tcPr>
            <w:tcW w:type="dxa" w:w="4824"/>
            <w:shd w:fill="FFFFFF"/>
            <w:tcBorders>
              <w:bottom w:val="single" w:sz="6" w:color="C7D0D6"/>
            </w:tcBorders>
          </w:tcPr>
          <w:p>
            <w:r>
              <w:t>All 17 chapters and a direct link to the full proposal</w:t>
            </w:r>
          </w:p>
        </w:tc>
        <w:tc>
          <w:tcPr>
            <w:tcW w:type="dxa" w:w="2880"/>
            <w:shd w:fill="FFFFFF"/>
            <w:tcBorders>
              <w:bottom w:val="single" w:sz="6" w:color="C7D0D6"/>
            </w:tcBorders>
          </w:tcPr>
          <w:p>
            <w:r>
              <w:rPr>
                <w:color w:val="176AA0"/>
                <w:sz w:val="16"/>
              </w:rPr>
              <w:t>bettercollegefootball.com/proposal</w:t>
            </w:r>
          </w:p>
        </w:tc>
      </w:tr>
      <w:tr>
        <w:tc>
          <w:tcPr>
            <w:tcW w:type="dxa" w:w="2088"/>
            <w:shd w:fill="EAF2F7"/>
            <w:tcBorders>
              <w:bottom w:val="single" w:sz="6" w:color="C7D0D6"/>
            </w:tcBorders>
          </w:tcPr>
          <w:p>
            <w:r>
              <w:rPr>
                <w:b/>
              </w:rPr>
              <w:t>Bracket Lab</w:t>
            </w:r>
          </w:p>
        </w:tc>
        <w:tc>
          <w:tcPr>
            <w:tcW w:type="dxa" w:w="4824"/>
            <w:shd w:fill="EAF2F7"/>
            <w:tcBorders>
              <w:bottom w:val="single" w:sz="6" w:color="C7D0D6"/>
            </w:tcBorders>
          </w:tcPr>
          <w:p>
            <w:r>
              <w:t>The 18-team field, both reseeds, historical replays, and editable brackets</w:t>
            </w:r>
          </w:p>
        </w:tc>
        <w:tc>
          <w:tcPr>
            <w:tcW w:type="dxa" w:w="2880"/>
            <w:shd w:fill="EAF2F7"/>
            <w:tcBorders>
              <w:bottom w:val="single" w:sz="6" w:color="C7D0D6"/>
            </w:tcBorders>
          </w:tcPr>
          <w:p>
            <w:r>
              <w:rPr>
                <w:color w:val="176AA0"/>
                <w:sz w:val="16"/>
              </w:rPr>
              <w:t>bettercollegefootball.com/simulator</w:t>
            </w:r>
          </w:p>
        </w:tc>
      </w:tr>
      <w:tr>
        <w:tc>
          <w:tcPr>
            <w:tcW w:type="dxa" w:w="2088"/>
            <w:shd w:fill="FFFFFF"/>
            <w:tcBorders>
              <w:bottom w:val="single" w:sz="6" w:color="C7D0D6"/>
            </w:tcBorders>
          </w:tcPr>
          <w:p>
            <w:r>
              <w:rPr>
                <w:b/>
              </w:rPr>
              <w:t>NRR Rankings</w:t>
            </w:r>
          </w:p>
        </w:tc>
        <w:tc>
          <w:tcPr>
            <w:tcW w:type="dxa" w:w="4824"/>
            <w:shd w:fill="FFFFFF"/>
            <w:tcBorders>
              <w:bottom w:val="single" w:sz="6" w:color="C7D0D6"/>
            </w:tcBorders>
          </w:tcPr>
          <w:p>
            <w:r>
              <w:t>The published résumé model, weekly archive, formula, and team evidence</w:t>
            </w:r>
          </w:p>
        </w:tc>
        <w:tc>
          <w:tcPr>
            <w:tcW w:type="dxa" w:w="2880"/>
            <w:shd w:fill="FFFFFF"/>
            <w:tcBorders>
              <w:bottom w:val="single" w:sz="6" w:color="C7D0D6"/>
            </w:tcBorders>
          </w:tcPr>
          <w:p>
            <w:r>
              <w:rPr>
                <w:color w:val="176AA0"/>
                <w:sz w:val="16"/>
              </w:rPr>
              <w:t>bettercollegefootball.com/rankings</w:t>
            </w:r>
          </w:p>
        </w:tc>
      </w:tr>
      <w:tr>
        <w:tc>
          <w:tcPr>
            <w:tcW w:type="dxa" w:w="2088"/>
            <w:shd w:fill="EAF2F7"/>
            <w:tcBorders>
              <w:bottom w:val="single" w:sz="6" w:color="C7D0D6"/>
            </w:tcBorders>
          </w:tcPr>
          <w:p>
            <w:r>
              <w:rPr>
                <w:b/>
              </w:rPr>
              <w:t>Operating calendar</w:t>
            </w:r>
          </w:p>
        </w:tc>
        <w:tc>
          <w:tcPr>
            <w:tcW w:type="dxa" w:w="4824"/>
            <w:shd w:fill="EAF2F7"/>
            <w:tcBorders>
              <w:bottom w:val="single" w:sz="6" w:color="C7D0D6"/>
            </w:tcBorders>
          </w:tcPr>
          <w:p>
            <w:r>
              <w:t>The proposed season, postseason, roster, and professional-transition sequence</w:t>
            </w:r>
          </w:p>
        </w:tc>
        <w:tc>
          <w:tcPr>
            <w:tcW w:type="dxa" w:w="2880"/>
            <w:shd w:fill="EAF2F7"/>
            <w:tcBorders>
              <w:bottom w:val="single" w:sz="6" w:color="C7D0D6"/>
            </w:tcBorders>
          </w:tcPr>
          <w:p>
            <w:r>
              <w:rPr>
                <w:color w:val="176AA0"/>
                <w:sz w:val="16"/>
              </w:rPr>
              <w:t>bettercollegefootball.com/calendar</w:t>
            </w:r>
          </w:p>
        </w:tc>
      </w:tr>
      <w:tr>
        <w:tc>
          <w:tcPr>
            <w:tcW w:type="dxa" w:w="2088"/>
            <w:shd w:fill="FFFFFF"/>
            <w:tcBorders>
              <w:bottom w:val="single" w:sz="6" w:color="C7D0D6"/>
            </w:tcBorders>
          </w:tcPr>
          <w:p>
            <w:r>
              <w:rPr>
                <w:b/>
              </w:rPr>
              <w:t>Evidence and validation</w:t>
            </w:r>
          </w:p>
        </w:tc>
        <w:tc>
          <w:tcPr>
            <w:tcW w:type="dxa" w:w="4824"/>
            <w:shd w:fill="FFFFFF"/>
            <w:tcBorders>
              <w:bottom w:val="single" w:sz="6" w:color="C7D0D6"/>
            </w:tcBorders>
          </w:tcPr>
          <w:p>
            <w:r>
              <w:t>Completed analyses, primary sources, current files, and unresolved launch gates</w:t>
            </w:r>
          </w:p>
        </w:tc>
        <w:tc>
          <w:tcPr>
            <w:tcW w:type="dxa" w:w="2880"/>
            <w:shd w:fill="FFFFFF"/>
            <w:tcBorders>
              <w:bottom w:val="single" w:sz="6" w:color="C7D0D6"/>
            </w:tcBorders>
          </w:tcPr>
          <w:p>
            <w:r>
              <w:rPr>
                <w:color w:val="176AA0"/>
                <w:sz w:val="16"/>
              </w:rPr>
              <w:t>bettercollegefootball.com/evidence</w:t>
            </w:r>
          </w:p>
        </w:tc>
      </w:tr>
      <w:tr>
        <w:tc>
          <w:tcPr>
            <w:tcW w:type="dxa" w:w="2088"/>
            <w:shd w:fill="EAF2F7"/>
            <w:tcBorders>
              <w:bottom w:val="single" w:sz="6" w:color="C7D0D6"/>
            </w:tcBorders>
          </w:tcPr>
          <w:p>
            <w:r>
              <w:rPr>
                <w:b/>
              </w:rPr>
              <w:t>Implementation</w:t>
            </w:r>
          </w:p>
        </w:tc>
        <w:tc>
          <w:tcPr>
            <w:tcW w:type="dxa" w:w="4824"/>
            <w:shd w:fill="EAF2F7"/>
            <w:tcBorders>
              <w:bottom w:val="single" w:sz="6" w:color="C7D0D6"/>
            </w:tcBorders>
          </w:tcPr>
          <w:p>
            <w:r>
              <w:t>Four adoption phases, seven launch gates, and the independent-review protocol</w:t>
            </w:r>
          </w:p>
        </w:tc>
        <w:tc>
          <w:tcPr>
            <w:tcW w:type="dxa" w:w="2880"/>
            <w:shd w:fill="EAF2F7"/>
            <w:tcBorders>
              <w:bottom w:val="single" w:sz="6" w:color="C7D0D6"/>
            </w:tcBorders>
          </w:tcPr>
          <w:p>
            <w:r>
              <w:rPr>
                <w:color w:val="176AA0"/>
                <w:sz w:val="16"/>
              </w:rPr>
              <w:t>bettercollegefootball.com/implementation</w:t>
            </w:r>
          </w:p>
        </w:tc>
      </w:tr>
    </w:tbl>
    <w:p>
      <w:pPr>
        <w:pStyle w:val="Heading2"/>
      </w:pPr>
      <w:r>
        <w:t>Published analyses and their limits</w:t>
      </w:r>
    </w:p>
    <w:p>
      <w:pPr>
        <w:pStyle w:val="Heading3"/>
      </w:pPr>
      <w:r>
        <w:t>NRR reconstruction</w:t>
      </w:r>
    </w:p>
    <w:p>
      <w:r>
        <w:rPr>
          <w:b/>
        </w:rPr>
        <w:t xml:space="preserve">Current finding  </w:t>
      </w:r>
      <w:r>
        <w:t>Twelve 2024–2025 weekly checkpoints reconstruct from the published formula without manual reordering.</w:t>
      </w:r>
    </w:p>
    <w:p>
      <w:r>
        <w:rPr>
          <w:b/>
        </w:rPr>
        <w:t xml:space="preserve">Boundary  </w:t>
      </w:r>
      <w:r>
        <w:t>This does not replace frozen-formula testing on unseen seasons, bias review, sensitivity testing, or adversarial gaming analysis.</w:t>
      </w:r>
    </w:p>
    <w:p>
      <w:pPr>
        <w:pStyle w:val="Heading3"/>
      </w:pPr>
      <w:r>
        <w:t>Lock versus reseed</w:t>
      </w:r>
    </w:p>
    <w:p>
      <w:r>
        <w:rPr>
          <w:b/>
        </w:rPr>
        <w:t xml:space="preserve">Current finding  </w:t>
      </w:r>
      <w:r>
        <w:t>In 150,000 paired simulations, at least one proposed reseed changed a path in 91.1% of scenarios and changed the simulated champion in 27.4%.</w:t>
      </w:r>
    </w:p>
    <w:p>
      <w:r>
        <w:rPr>
          <w:b/>
        </w:rPr>
        <w:t xml:space="preserve">Boundary  </w:t>
      </w:r>
      <w:r>
        <w:t>Seed-distance probabilities are illustrative rather than calibrated forecasts; historical fields, rematches, travel, rest, and held-out game probabilities remain open.</w:t>
      </w:r>
    </w:p>
    <w:p>
      <w:pPr>
        <w:pStyle w:val="Heading3"/>
      </w:pPr>
      <w:r>
        <w:t>Conference-neutral market cross-check</w:t>
      </w:r>
    </w:p>
    <w:p>
      <w:r>
        <w:rPr>
          <w:b/>
        </w:rPr>
        <w:t xml:space="preserve">Current finding  </w:t>
      </w:r>
      <w:r>
        <w:t>Across 1,602 historical closing lines and twelve same-date checkpoints, the independent market ordering broadly supports opponent and schedule ordering.</w:t>
      </w:r>
    </w:p>
    <w:p>
      <w:r>
        <w:rPr>
          <w:b/>
        </w:rPr>
        <w:t xml:space="preserve">Boundary  </w:t>
      </w:r>
      <w:r>
        <w:t>Betting lines estimate expected strength. They do not award accomplishment and never enter a published NRR score.</w:t>
      </w:r>
    </w:p>
    <w:p>
      <w:pPr>
        <w:pStyle w:val="Heading2"/>
      </w:pPr>
      <w:r>
        <w:t>Companion documents</w:t>
      </w:r>
    </w:p>
    <w:p>
      <w:r>
        <w:t>These working files develop implementation questions that are too specialized for the main chapter flow. They remain subordinate to the current online proposal and require the same legal, athlete, financial, operational, and public-review gates.</w:t>
      </w:r>
    </w:p>
    <w:p>
      <w:pPr>
        <w:pStyle w:val="ListBullet"/>
      </w:pPr>
      <w:r>
        <w:rPr>
          <w:b/>
        </w:rPr>
        <w:t xml:space="preserve">College Football–NFL Coordination Compact  </w:t>
      </w:r>
      <w:r>
        <w:rPr>
          <w:color w:val="176AA0"/>
        </w:rPr>
        <w:t>bettercollegefootball.com/downloads/FBS_Reform_College_Football_NFL_Coordination_Compact.docx</w:t>
      </w:r>
    </w:p>
    <w:p>
      <w:pPr>
        <w:pStyle w:val="ListBullet"/>
      </w:pPr>
      <w:r>
        <w:rPr>
          <w:b/>
        </w:rPr>
        <w:t xml:space="preserve">College Football–NFL Negotiation Brief  </w:t>
      </w:r>
      <w:r>
        <w:rPr>
          <w:color w:val="176AA0"/>
        </w:rPr>
        <w:t>bettercollegefootball.com/downloads/FBS_Reform_College_Football_NFL_Negotiation_Brief.docx</w:t>
      </w:r>
    </w:p>
    <w:p>
      <w:pPr>
        <w:pStyle w:val="ListBullet"/>
      </w:pPr>
      <w:r>
        <w:rPr>
          <w:b/>
        </w:rPr>
        <w:t xml:space="preserve">NIL and Athlete Economic Rights Framework  </w:t>
      </w:r>
      <w:r>
        <w:rPr>
          <w:color w:val="176AA0"/>
        </w:rPr>
        <w:t>bettercollegefootball.com/downloads/FBS_Reform_NIL_and_Athlete_Economic_Rights_Framework.docx</w:t>
      </w:r>
    </w:p>
    <w:p>
      <w:pPr>
        <w:pStyle w:val="ListBullet"/>
      </w:pPr>
      <w:r>
        <w:rPr>
          <w:b/>
        </w:rPr>
        <w:t xml:space="preserve">Financial and Media Feasibility Framework  </w:t>
      </w:r>
      <w:r>
        <w:rPr>
          <w:color w:val="176AA0"/>
        </w:rPr>
        <w:t>bettercollegefootball.com/downloads/FBS_Reform_Financial_and_Media_Feasibility_Framework.docx</w:t>
      </w:r>
    </w:p>
    <w:p>
      <w:pPr>
        <w:pStyle w:val="ListBullet"/>
      </w:pPr>
      <w:r>
        <w:rPr>
          <w:b/>
        </w:rPr>
        <w:t xml:space="preserve">Competition Validation and Implementation Brief  </w:t>
      </w:r>
      <w:r>
        <w:rPr>
          <w:color w:val="176AA0"/>
        </w:rPr>
        <w:t>bettercollegefootball.com/downloads/FBS_Reform_Competition_Validation_and_Implementation_Brief.docx</w:t>
      </w:r>
    </w:p>
    <w:p>
      <w:pPr>
        <w:pStyle w:val="Heading1"/>
      </w:pPr>
      <w:r>
        <w:t>The adoption standard</w:t>
      </w:r>
    </w:p>
    <w:p>
      <w:pPr>
        <w:pStyle w:val="SectionLabel"/>
        <w:spacing w:before="160"/>
      </w:pPr>
      <w:r>
        <w:t>THE FINAL RULE</w:t>
      </w:r>
    </w:p>
    <w:p>
      <w:pPr>
        <w:pStyle w:val="Decision"/>
        <w:spacing w:after="160"/>
      </w:pPr>
      <w:r>
        <w:t>A complete argument is not the same thing as permission to launch.</w:t>
      </w:r>
    </w:p>
    <w:p>
      <w:r>
        <w:t>This proposal should become binding only after independent legal review, meaningful athlete representation, workload and medical analysis, complete financial and media modeling, operational testing, clear governing authority, and public transition rules. Review may change a mechanism. It may also expose a reason to stop. That is part of the design—not a weakness hidden outside it.</w:t>
      </w:r>
    </w:p>
    <w:p>
      <w:pPr>
        <w:pStyle w:val="DocumentLink"/>
      </w:pPr>
      <w:r>
        <w:t>Current online proposal  ·  bettercollegefootball.com/proposal/full</w:t>
      </w:r>
    </w:p>
    <w:p>
      <w:pPr>
        <w:pStyle w:val="DocumentLink"/>
      </w:pPr>
      <w:r>
        <w:t>Evidence and launch gates  ·  bettercollegefootball.com/evidence</w:t>
      </w:r>
    </w:p>
    <w:sectPr w:rsidR="00FC693F" w:rsidRPr="0006063C" w:rsidSect="00034616">
      <w:headerReference w:type="default" r:id="rId9"/>
      <w:footerReference w:type="default" r:id="rId10"/>
      <w:headerReference w:type="first" r:id="rId11"/>
      <w:footerReference w:type="first" r:id="rId12"/>
      <w:pgSz w:w="12240" w:h="15840"/>
      <w:pgMar w:top="1037" w:right="1123" w:bottom="950" w:left="1123"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center"/>
    </w:pPr>
    <w:r>
      <w:t xml:space="preserve">October 2026   ·   Page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60"/>
      <w:jc w:val="right"/>
      <w:pBdr>
        <w:bottom w:val="single" w:sz="8" w:space="4" w:color="06263F"/>
      </w:pBdr>
    </w:pPr>
    <w:r>
      <w:t>BETTER COLLEGE FOOTBALL  /  CURRENT COMPLETE PROPOSAL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20"/>
      <w:outlineLvl w:val="0"/>
    </w:pPr>
    <w:rPr>
      <w:rFonts w:asciiTheme="majorHAnsi" w:eastAsiaTheme="majorEastAsia" w:hAnsiTheme="majorHAnsi" w:cstheme="majorBidi" w:ascii="Arial" w:hAnsi="Arial"/>
      <w:b/>
      <w:bCs/>
      <w:color w:val="111111"/>
      <w:sz w:val="48"/>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111111"/>
      <w:sz w:val="3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11111"/>
      <w:sz w:val="22"/>
    </w:rPr>
  </w:style>
  <w:style w:type="paragraph" w:styleId="Heading4">
    <w:name w:val="heading 4"/>
    <w:basedOn w:val="Normal"/>
    <w:next w:val="Normal"/>
    <w:link w:val="Heading4Char"/>
    <w:uiPriority w:val="9"/>
    <w:semiHidden/>
    <w:unhideWhenUsed/>
    <w:qFormat/>
    <w:rsid w:val="00FC693F"/>
    <w:pPr>
      <w:keepNext/>
      <w:keepLines/>
      <w:spacing w:before="140" w:after="60"/>
      <w:outlineLvl w:val="3"/>
    </w:pPr>
    <w:rPr>
      <w:rFonts w:asciiTheme="majorHAnsi" w:eastAsiaTheme="majorEastAsia" w:hAnsiTheme="majorHAnsi" w:cstheme="majorBidi" w:ascii="Arial" w:hAnsi="Arial"/>
      <w:b/>
      <w:bCs/>
      <w:i/>
      <w:iCs/>
      <w:color w:val="11111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pPr>
    <w:rPr>
      <w:rFonts w:asciiTheme="majorHAnsi" w:eastAsiaTheme="majorEastAsia" w:hAnsiTheme="majorHAnsi" w:cstheme="majorBidi" w:ascii="Arial" w:hAnsi="Arial"/>
      <w:b/>
      <w:color w:val="111111"/>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280"/>
    </w:pPr>
    <w:rPr>
      <w:rFonts w:asciiTheme="majorHAnsi" w:eastAsiaTheme="majorEastAsia" w:hAnsiTheme="majorHAnsi" w:cstheme="majorBidi" w:ascii="Arial" w:hAnsi="Arial"/>
      <w:b/>
      <w:i/>
      <w:iCs/>
      <w:color w:val="5D6B75"/>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80"/>
      <w:ind w:left="331" w:hanging="216"/>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abel">
    <w:name w:val="Section Label"/>
    <w:basedOn w:val="Normal"/>
    <w:pPr>
      <w:keepNext/>
      <w:spacing w:before="180" w:after="100"/>
    </w:pPr>
    <w:rPr>
      <w:rFonts w:ascii="Arial" w:hAnsi="Arial"/>
      <w:b/>
      <w:caps/>
      <w:color w:val="C8102E"/>
      <w:sz w:val="16"/>
    </w:rPr>
  </w:style>
  <w:style w:type="paragraph" w:customStyle="1" w:styleId="Decision">
    <w:name w:val="Decision"/>
    <w:basedOn w:val="Normal"/>
    <w:pPr>
      <w:keepNext/>
      <w:spacing w:before="100" w:after="100"/>
    </w:pPr>
    <w:rPr>
      <w:rFonts w:ascii="Arial" w:hAnsi="Arial"/>
      <w:b/>
      <w:caps w:val="0"/>
      <w:color w:val="111111"/>
      <w:sz w:val="26"/>
    </w:rPr>
  </w:style>
  <w:style w:type="paragraph" w:customStyle="1" w:styleId="SmallNote">
    <w:name w:val="Small Note"/>
    <w:basedOn w:val="Normal"/>
    <w:pPr>
      <w:keepNext w:val="0"/>
      <w:spacing w:before="100" w:after="100"/>
    </w:pPr>
    <w:rPr>
      <w:rFonts w:ascii="Arial" w:hAnsi="Arial"/>
      <w:b w:val="0"/>
      <w:caps w:val="0"/>
      <w:color w:val="5D6B75"/>
      <w:sz w:val="16"/>
    </w:rPr>
  </w:style>
  <w:style w:type="paragraph" w:customStyle="1" w:styleId="DocumentLink">
    <w:name w:val="Document Link"/>
    <w:basedOn w:val="Normal"/>
    <w:pPr>
      <w:keepNext w:val="0"/>
      <w:spacing w:before="100" w:after="100"/>
    </w:pPr>
    <w:rPr>
      <w:rFonts w:ascii="Arial" w:hAnsi="Arial"/>
      <w:b/>
      <w:caps w:val="0"/>
      <w:color w:val="176AA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Better College Football Complete Proposal</dc:title>
  <dc:subject>One integrated framework for the game, the player market, and national governance</dc:subject>
  <dc:creator>Alec Levine</dc:creator>
  <cp:keywords>college football, policy proposal, CFP, athlete rights, governance</cp:keywords>
  <dc:description>Current complete proposal generated from the website's canonical 17-chapter record.</dc:description>
  <cp:lastModifiedBy/>
  <cp:revision>1</cp:revision>
  <dcterms:created xsi:type="dcterms:W3CDTF">2013-12-23T23:15:00Z</dcterms:created>
  <dcterms:modified xsi:type="dcterms:W3CDTF">2013-12-23T23:15:00Z</dcterms:modified>
  <cp:category/>
</cp:coreProperties>
</file>