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pPr>
      <w:r>
        <w:rPr>
          <w:rFonts w:ascii="Calibri" w:hAnsi="Calibri"/>
          <w:b/>
          <w:i w:val="0"/>
          <w:color w:val="5D6672"/>
          <w:sz w:val="20"/>
        </w:rPr>
        <w:t>COMPANION POLICY BRIEF</w:t>
      </w:r>
    </w:p>
    <w:p>
      <w:pPr>
        <w:spacing w:before="0" w:after="120"/>
        <w:keepNext/>
        <w:keepLines/>
      </w:pPr>
      <w:r>
        <w:rPr>
          <w:rFonts w:ascii="Calibri" w:hAnsi="Calibri"/>
          <w:b/>
          <w:i w:val="0"/>
          <w:color w:val="0B2545"/>
          <w:sz w:val="48"/>
        </w:rPr>
        <w:t>COLLEGE FOOTBALL–NFL COORDINATION COMPACT</w:t>
      </w:r>
    </w:p>
    <w:p>
      <w:pPr>
        <w:spacing w:before="0" w:after="320"/>
        <w:keepNext/>
        <w:keepLines/>
      </w:pPr>
      <w:r>
        <w:rPr>
          <w:rFonts w:ascii="Calibri" w:hAnsi="Calibri"/>
          <w:b w:val="0"/>
          <w:i w:val="0"/>
          <w:color w:val="1F4D78"/>
          <w:sz w:val="27"/>
        </w:rPr>
        <w:t>A proposed calendar, professional-transition, athlete-data, and reciprocal-development framework</w:t>
      </w:r>
    </w:p>
    <w:tbl>
      <w:tblPr>
        <w:tblW w:type="dxa" w:w="9360"/>
        <w:jc w:val="left"/>
        <w:tblLayout w:type="fixed"/>
        <w:tblLook w:firstColumn="1" w:firstRow="1" w:lastColumn="0" w:lastRow="0" w:noHBand="0" w:noVBand="1" w:val="04A0"/>
        <w:tblInd w:type="dxa" w:w="120"/>
      </w:tblPr>
      <w:tblGrid>
        <w:gridCol w:w="3100"/>
        <w:gridCol w:w="3560"/>
        <w:gridCol w:w="2700"/>
      </w:tblGrid>
      <w:tr>
        <w:trPr>
          <w:trHeight w:hRule="auto"/>
          <w:tblHeader/>
          <w:cantSplit/>
          <w:cantSplit/>
        </w:trPr>
        <w:tc>
          <w:tcPr>
            <w:tcW w:type="dxa" w:w="31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Document role</w:t>
            </w:r>
          </w:p>
        </w:tc>
        <w:tc>
          <w:tcPr>
            <w:tcW w:type="dxa" w:w="35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Status</w:t>
            </w:r>
          </w:p>
        </w:tc>
        <w:tc>
          <w:tcPr>
            <w:tcW w:type="dxa" w:w="27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8"/>
              </w:rPr>
              <w:t>Date</w:t>
            </w:r>
          </w:p>
        </w:tc>
      </w:tr>
      <w:tr>
        <w:trPr>
          <w:cantSplit/>
          <w:cantSplit/>
          <w:trHeight w:hRule="auto"/>
        </w:trPr>
        <w:tc>
          <w:tcPr>
            <w:tcW w:type="dxa" w:w="31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Companion to Integrated FBS Competition Reform</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Submission-ready policy framework; requires negotiation, legal review, and collective-bargaining alignment</w:t>
            </w:r>
          </w:p>
        </w:tc>
        <w:tc>
          <w:tcPr>
            <w:tcW w:type="dxa" w:w="2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8"/>
              </w:rPr>
              <w:t>August 2026</w:t>
            </w:r>
          </w:p>
        </w:tc>
      </w:tr>
    </w:tbl>
    <w:p>
      <w:pPr>
        <w:spacing w:before="0" w:after="40"/>
      </w:pPr>
    </w:p>
    <w:p>
      <w:pPr>
        <w:spacing w:before="80" w:after="200"/>
      </w:pPr>
      <w:r>
        <w:rPr>
          <w:rFonts w:ascii="Calibri" w:hAnsi="Calibri"/>
          <w:b w:val="0"/>
          <w:i/>
          <w:color w:val="5D6672"/>
          <w:sz w:val="17"/>
        </w:rPr>
        <w:t>Written by Alec Levine. Developed with AI-assisted research, drafting, editing, modeling, and document production. The policy positions, judgments, and responsibility for this framework are Alec Levine’s.</w:t>
      </w:r>
    </w:p>
    <w:p>
      <w:pPr>
        <w:pStyle w:val="Lead"/>
        <w:spacing w:before="0"/>
      </w:pPr>
      <w:r>
        <w:rPr>
          <w:rFonts w:ascii="Calibri" w:hAnsi="Calibri"/>
          <w:b w:val="0"/>
          <w:i w:val="0"/>
        </w:rPr>
        <w:t>College football and the NFL are different competitions with different governing structures, but they share one development pathway, one audience, one annual calendar, and many of the same athletes. Their most important dates should not be planned through occasional last-minute accommodation. This compact creates a standing structure for calendar cooperation, a clear college-to-professional doorway, and reciprocal investment in athlete development.</w:t>
      </w:r>
    </w:p>
    <w:p>
      <w:pPr>
        <w:spacing w:before="120" w:after="200" w:line="288" w:lineRule="auto"/>
        <w:ind w:left="259" w:right="115"/>
        <w:shd w:fill="E8EEF5"/>
        <w:pBdr>
          <w:left w:val="single" w:sz="18" w:space="6" w:color="1F4D78"/>
        </w:pBdr>
        <w:keepLines/>
      </w:pPr>
      <w:r>
        <w:rPr>
          <w:rFonts w:ascii="Calibri" w:hAnsi="Calibri"/>
          <w:b/>
          <w:color w:val="1F4D78"/>
          <w:sz w:val="20"/>
        </w:rPr>
        <w:t xml:space="preserve">REQUESTED DECISION  </w:t>
      </w:r>
      <w:r>
        <w:rPr>
          <w:rFonts w:ascii="Calibri" w:hAnsi="Calibri"/>
          <w:color w:val="0B2545"/>
          <w:sz w:val="21"/>
        </w:rPr>
        <w:t>Authorize a joint design and negotiation process among CFP management, the NCAA, FBS conferences, independent institutions, the NFL, the NFL Players Association, and athlete representatives. The first work products should be a three-year calendar memorandum and one nationally uniform professional-transition protocol.</w:t>
      </w:r>
    </w:p>
    <w:p>
      <w:pPr>
        <w:pStyle w:val="Heading1"/>
        <w:keepNext/>
        <w:keepLines/>
      </w:pPr>
      <w:r>
        <w:t>1. Executive policy</w:t>
      </w:r>
    </w:p>
    <w:tbl>
      <w:tblPr>
        <w:tblW w:type="dxa" w:w="9360"/>
        <w:jc w:val="left"/>
        <w:tblLayout w:type="fixed"/>
        <w:tblLook w:firstColumn="1" w:firstRow="1" w:lastColumn="0" w:lastRow="0" w:noHBand="0" w:noVBand="1" w:val="04A0"/>
        <w:tblInd w:type="dxa" w:w="120"/>
      </w:tblPr>
      <w:tblGrid>
        <w:gridCol w:w="1820"/>
        <w:gridCol w:w="4200"/>
        <w:gridCol w:w="3340"/>
      </w:tblGrid>
      <w:tr>
        <w:trPr>
          <w:trHeight w:hRule="auto"/>
          <w:tblHeader/>
          <w:cantSplit/>
          <w:cantSplit/>
        </w:trPr>
        <w:tc>
          <w:tcPr>
            <w:tcW w:type="dxa" w:w="182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Commitment</w:t>
            </w:r>
          </w:p>
        </w:tc>
        <w:tc>
          <w:tcPr>
            <w:tcW w:type="dxa" w:w="42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Proposed rule</w:t>
            </w:r>
          </w:p>
        </w:tc>
        <w:tc>
          <w:tcPr>
            <w:tcW w:type="dxa" w:w="334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Public benefit</w:t>
            </w:r>
          </w:p>
        </w:tc>
      </w:tr>
      <w:tr>
        <w:trPr>
          <w:cantSplit/>
          <w:cantSplit/>
          <w:trHeight w:hRule="auto"/>
        </w:trPr>
        <w:tc>
          <w:tcPr>
            <w:tcW w:type="dxa" w:w="182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Protected championship window</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Target Saturday at approximately 7:30 p.m. Eastern during NFL Wild Card Weekend for the CFP National Championship in the next negotiable cycle.</w:t>
            </w:r>
          </w:p>
        </w:tc>
        <w:tc>
          <w:tcPr>
            <w:tcW w:type="dxa" w:w="33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 championship on college football’s defining night with less head-to-head conflict.</w:t>
            </w:r>
          </w:p>
        </w:tc>
      </w:tr>
      <w:tr>
        <w:trPr>
          <w:cantSplit/>
          <w:cantSplit/>
          <w:trHeight w:hRule="auto"/>
        </w:trPr>
        <w:tc>
          <w:tcPr>
            <w:tcW w:type="dxa" w:w="182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Annual joint calendar</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Publish a college–professional football calendar by May 1, including CFP, NFL playoffs, all-star events, combine, draft, withdrawal, portal, and signing dates.</w:t>
            </w:r>
          </w:p>
        </w:tc>
        <w:tc>
          <w:tcPr>
            <w:tcW w:type="dxa" w:w="33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Fewer avoidable conflicts and clearer planning for athletes, fans, campuses, and media partners.</w:t>
            </w:r>
          </w:p>
        </w:tc>
      </w:tr>
      <w:tr>
        <w:trPr>
          <w:cantSplit/>
          <w:cantSplit/>
          <w:trHeight w:hRule="auto"/>
        </w:trPr>
        <w:tc>
          <w:tcPr>
            <w:tcW w:type="dxa" w:w="182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One Clean Doorway</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Protect informed exploration, establish one withdrawal deadline, and attach finality to an objective professional commitment.</w:t>
            </w:r>
          </w:p>
        </w:tc>
        <w:tc>
          <w:tcPr>
            <w:tcW w:type="dxa" w:w="33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Players receive advice without accidental forfeiture, while college rosters avoid a performance-regret revolving door.</w:t>
            </w:r>
          </w:p>
        </w:tc>
      </w:tr>
      <w:tr>
        <w:trPr>
          <w:cantSplit/>
          <w:cantSplit/>
          <w:trHeight w:hRule="auto"/>
        </w:trPr>
        <w:tc>
          <w:tcPr>
            <w:tcW w:type="dxa" w:w="182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Reciprocal development</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Coordinate athlete-controlled data, verified testing, insurance education, degree completion, transition support, and health research.</w:t>
            </w:r>
          </w:p>
        </w:tc>
        <w:tc>
          <w:tcPr>
            <w:tcW w:type="dxa" w:w="334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 more trustworthy pathway from campus to professional football.</w:t>
            </w:r>
          </w:p>
        </w:tc>
      </w:tr>
    </w:tbl>
    <w:p>
      <w:pPr>
        <w:spacing w:before="0" w:after="40"/>
      </w:pPr>
    </w:p>
    <w:p>
      <w:pPr>
        <w:spacing w:before="0"/>
      </w:pPr>
      <w:r>
        <w:rPr>
          <w:rFonts w:ascii="Calibri" w:hAnsi="Calibri"/>
          <w:b w:val="0"/>
          <w:i/>
          <w:color w:val="5D6672"/>
        </w:rPr>
        <w:t>This compact is an independent proposal by Alec Levine. It is not an NCAA, CFP, NFL, NFLPA, conference, or institutional policy and does not imply endorsement by any named organization.</w:t>
      </w:r>
    </w:p>
    <w:p>
      <w:pPr>
        <w:pStyle w:val="Heading1"/>
        <w:keepNext/>
        <w:keepLines/>
      </w:pPr>
      <w:r>
        <w:t>2. Current-state baseline</w:t>
      </w:r>
    </w:p>
    <w:p>
      <w:pPr>
        <w:spacing w:before="0"/>
      </w:pPr>
      <w:r>
        <w:rPr>
          <w:rFonts w:ascii="Calibri" w:hAnsi="Calibri"/>
          <w:b w:val="0"/>
          <w:i w:val="0"/>
        </w:rPr>
        <w:t>The announced 2027 CFP National Championship is Monday, January 25, 2027, in Las Vegas. The NFL’s published calendar places Wild Card Weekend on January 16–18, 2027. The Saturday-night Wild Card alignment described in this compact is therefore a future negotiated target, not a description of the announced 2027 schedule.</w:t>
      </w:r>
    </w:p>
    <w:p>
      <w:pPr>
        <w:numPr>
          <w:ilvl w:val="0"/>
          <w:numId w:val="10"/>
        </w:numPr>
        <w:keepLines/>
      </w:pPr>
      <w:r>
        <w:rPr>
          <w:rFonts w:ascii="Calibri" w:hAnsi="Calibri"/>
        </w:rPr>
        <w:t>CFP governance rests with its Board of Managers and Management Committee; the NCAA does not unilaterally control the CFP schedule.</w:t>
      </w:r>
    </w:p>
    <w:p>
      <w:pPr>
        <w:numPr>
          <w:ilvl w:val="0"/>
          <w:numId w:val="10"/>
        </w:numPr>
        <w:keepLines/>
      </w:pPr>
      <w:r>
        <w:rPr>
          <w:rFonts w:ascii="Calibri" w:hAnsi="Calibri"/>
        </w:rPr>
        <w:t>NFL playoff inventory, draft deadlines, contracts, and player working conditions implicate NFL and NFLPA authority and collective bargaining.</w:t>
      </w:r>
    </w:p>
    <w:p>
      <w:pPr>
        <w:numPr>
          <w:ilvl w:val="0"/>
          <w:numId w:val="10"/>
        </w:numPr>
        <w:keepLines/>
      </w:pPr>
      <w:r>
        <w:rPr>
          <w:rFonts w:ascii="Calibri" w:hAnsi="Calibri"/>
        </w:rPr>
        <w:t>NCAA eligibility, agent, recruiting, transfer, and participation rules operate through separate governance and legal pathways.</w:t>
      </w:r>
    </w:p>
    <w:p>
      <w:pPr>
        <w:numPr>
          <w:ilvl w:val="0"/>
          <w:numId w:val="10"/>
        </w:numPr>
        <w:keepLines/>
      </w:pPr>
      <w:r>
        <w:rPr>
          <w:rFonts w:ascii="Calibri" w:hAnsi="Calibri"/>
        </w:rPr>
        <w:t>Any binding arrangement therefore requires coordinated approvals rather than a single rule change by one organization.</w:t>
      </w:r>
    </w:p>
    <w:p>
      <w:pPr>
        <w:spacing w:before="120" w:after="200" w:line="288" w:lineRule="auto"/>
        <w:ind w:left="259" w:right="115"/>
        <w:shd w:fill="F7F0D8"/>
        <w:pBdr>
          <w:left w:val="single" w:sz="18" w:space="6" w:color="7A5A00"/>
        </w:pBdr>
        <w:keepLines/>
      </w:pPr>
      <w:r>
        <w:rPr>
          <w:rFonts w:ascii="Calibri" w:hAnsi="Calibri"/>
          <w:b/>
          <w:color w:val="7A5A00"/>
          <w:sz w:val="20"/>
        </w:rPr>
        <w:t xml:space="preserve">DESIGN PRINCIPLE  </w:t>
      </w:r>
      <w:r>
        <w:rPr>
          <w:rFonts w:ascii="Calibri" w:hAnsi="Calibri"/>
          <w:color w:val="0B2545"/>
          <w:sz w:val="21"/>
        </w:rPr>
        <w:t>Coordination is not subordination. College football should not ask the NFL to run the college game, and the NFL should not ask college football to organize itself solely as a minor league. The objective is a fair exchange of calendar space, information quality, and athlete support.</w:t>
      </w:r>
    </w:p>
    <w:p>
      <w:pPr>
        <w:pStyle w:val="Heading1"/>
        <w:keepNext/>
        <w:keepLines/>
      </w:pPr>
      <w:r>
        <w:t>3. Parties and authority</w:t>
      </w:r>
    </w:p>
    <w:tbl>
      <w:tblPr>
        <w:tblW w:type="dxa" w:w="9360"/>
        <w:jc w:val="left"/>
        <w:tblLayout w:type="fixed"/>
        <w:tblLook w:firstColumn="1" w:firstRow="1" w:lastColumn="0" w:lastRow="0" w:noHBand="0" w:noVBand="1" w:val="04A0"/>
        <w:tblInd w:type="dxa" w:w="120"/>
      </w:tblPr>
      <w:tblGrid>
        <w:gridCol w:w="2350"/>
        <w:gridCol w:w="2850"/>
        <w:gridCol w:w="4160"/>
      </w:tblGrid>
      <w:tr>
        <w:trPr>
          <w:trHeight w:hRule="auto"/>
          <w:tblHeader/>
          <w:cantSplit/>
          <w:cantSplit/>
        </w:trPr>
        <w:tc>
          <w:tcPr>
            <w:tcW w:type="dxa" w:w="235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Decision</w:t>
            </w:r>
          </w:p>
        </w:tc>
        <w:tc>
          <w:tcPr>
            <w:tcW w:type="dxa" w:w="285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Accountable owner</w:t>
            </w:r>
          </w:p>
        </w:tc>
        <w:tc>
          <w:tcPr>
            <w:tcW w:type="dxa" w:w="41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Required approval or consultation</w:t>
            </w:r>
          </w:p>
        </w:tc>
      </w:tr>
      <w:tr>
        <w:trPr>
          <w:cantSplit/>
          <w:cantSplit/>
          <w:trHeight w:hRule="auto"/>
        </w:trPr>
        <w:tc>
          <w:tcPr>
            <w:tcW w:type="dxa" w:w="23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CFP championship date and site</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CFP Board of Managers and Management Committee</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Participating conferences and independent institution; rights-holder and host review</w:t>
            </w:r>
          </w:p>
        </w:tc>
      </w:tr>
      <w:tr>
        <w:trPr>
          <w:cantSplit/>
          <w:cantSplit/>
          <w:trHeight w:hRule="auto"/>
        </w:trPr>
        <w:tc>
          <w:tcPr>
            <w:tcW w:type="dxa" w:w="23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NFL postseason inventory</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NFL</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NFLPA where collectively bargained rights or player working conditions are implicated; network and club coordination</w:t>
            </w:r>
          </w:p>
        </w:tc>
      </w:tr>
      <w:tr>
        <w:trPr>
          <w:cantSplit/>
          <w:cantSplit/>
          <w:trHeight w:hRule="auto"/>
        </w:trPr>
        <w:tc>
          <w:tcPr>
            <w:tcW w:type="dxa" w:w="23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College eligibility and agent rules</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NCAA Division I governance</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Member action, legal review, athlete representation, and conference implementation</w:t>
            </w:r>
          </w:p>
        </w:tc>
      </w:tr>
      <w:tr>
        <w:trPr>
          <w:cantSplit/>
          <w:cantSplit/>
          <w:trHeight w:hRule="auto"/>
        </w:trPr>
        <w:tc>
          <w:tcPr>
            <w:tcW w:type="dxa" w:w="23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Draft, combine, and professional-transition rules</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NFL and NFLPA within their respective authority</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NCAA/CFP calendar coordination and athlete-rights review</w:t>
            </w:r>
          </w:p>
        </w:tc>
      </w:tr>
      <w:tr>
        <w:trPr>
          <w:cantSplit/>
          <w:cantSplit/>
          <w:trHeight w:hRule="auto"/>
        </w:trPr>
        <w:tc>
          <w:tcPr>
            <w:tcW w:type="dxa" w:w="23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Roster, portal, and campus implementation</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NCAA, conferences, and institutions within their authority</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Coordinated dates, academic review, and notice to athletes</w:t>
            </w:r>
          </w:p>
        </w:tc>
      </w:tr>
      <w:tr>
        <w:trPr>
          <w:cantSplit/>
          <w:cantSplit/>
          <w:trHeight w:hRule="auto"/>
        </w:trPr>
        <w:tc>
          <w:tcPr>
            <w:tcW w:type="dxa" w:w="23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Medical, biometric, and transition data</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Athlete-controlled consent framework</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NFLPA, NCAA, medical, privacy, legal, and independent-security review</w:t>
            </w:r>
          </w:p>
        </w:tc>
      </w:tr>
      <w:tr>
        <w:trPr>
          <w:cantSplit/>
          <w:cantSplit/>
          <w:trHeight w:hRule="auto"/>
        </w:trPr>
        <w:tc>
          <w:tcPr>
            <w:tcW w:type="dxa" w:w="23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Compact audit and renewal</w:t>
            </w:r>
          </w:p>
        </w:tc>
        <w:tc>
          <w:tcPr>
            <w:tcW w:type="dxa" w:w="28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Joint council with independent auditor</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Published findings, athlete vote, and affirmative renewal by each necessary authority</w:t>
            </w:r>
          </w:p>
        </w:tc>
      </w:tr>
    </w:tbl>
    <w:p>
      <w:pPr>
        <w:spacing w:before="0" w:after="40"/>
      </w:pPr>
    </w:p>
    <w:p>
      <w:pPr>
        <w:spacing w:before="0"/>
      </w:pPr>
      <w:r>
        <w:rPr>
          <w:rFonts w:ascii="Calibri" w:hAnsi="Calibri"/>
          <w:b w:val="0"/>
          <w:i w:val="0"/>
        </w:rPr>
        <w:t>The compact should identify which organization owns each decision, what consultation is required, and what happens when the parties cannot agree. It should not obscure existing authority behind a new committee.</w:t>
      </w:r>
    </w:p>
    <w:p>
      <w:pPr>
        <w:pStyle w:val="Heading1"/>
        <w:keepNext/>
        <w:keepLines/>
      </w:pPr>
      <w:r>
        <w:t>4. Calendar memorandum</w:t>
      </w:r>
    </w:p>
    <w:p>
      <w:pPr>
        <w:pStyle w:val="Heading2"/>
        <w:keepNext/>
        <w:keepLines/>
      </w:pPr>
      <w:r>
        <w:t>4.1 Saturday-night national championship</w:t>
      </w:r>
    </w:p>
    <w:p>
      <w:pPr>
        <w:spacing w:before="0"/>
      </w:pPr>
      <w:r>
        <w:rPr>
          <w:rFonts w:ascii="Calibri" w:hAnsi="Calibri"/>
          <w:b w:val="0"/>
          <w:i w:val="0"/>
        </w:rPr>
        <w:t>For the next cycle in which the relevant rights and schedules can be negotiated together, the preferred national championship window is Saturday at approximately 7:30 p.m. Eastern during NFL Wild Card Weekend. The NFL may retain one or two earlier Saturday games, its Sunday inventory, and its Monday game. The college championship becomes the Saturday-night anchor rather than a Monday event competing with work and school the next morning.</w:t>
      </w:r>
    </w:p>
    <w:tbl>
      <w:tblPr>
        <w:tblW w:type="dxa" w:w="9360"/>
        <w:jc w:val="left"/>
        <w:tblLayout w:type="fixed"/>
        <w:tblLook w:firstColumn="1" w:firstRow="1" w:lastColumn="0" w:lastRow="0" w:noHBand="0" w:noVBand="1" w:val="04A0"/>
        <w:tblInd w:type="dxa" w:w="120"/>
      </w:tblPr>
      <w:tblGrid>
        <w:gridCol w:w="2200"/>
        <w:gridCol w:w="3000"/>
        <w:gridCol w:w="4160"/>
      </w:tblGrid>
      <w:tr>
        <w:trPr>
          <w:trHeight w:hRule="auto"/>
          <w:tblHeader/>
          <w:cantSplit/>
          <w:cantSplit/>
        </w:trPr>
        <w:tc>
          <w:tcPr>
            <w:tcW w:type="dxa" w:w="22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Illustrative day</w:t>
            </w:r>
          </w:p>
        </w:tc>
        <w:tc>
          <w:tcPr>
            <w:tcW w:type="dxa" w:w="30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Illustrative inventory</w:t>
            </w:r>
          </w:p>
        </w:tc>
        <w:tc>
          <w:tcPr>
            <w:tcW w:type="dxa" w:w="41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Compact objective</w:t>
            </w:r>
          </w:p>
        </w:tc>
      </w:tr>
      <w:tr>
        <w:trPr>
          <w:cantSplit/>
          <w:cantSplit/>
          <w:trHeight w:hRule="auto"/>
        </w:trPr>
        <w:tc>
          <w:tcPr>
            <w:tcW w:type="dxa" w:w="2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Saturday afternoon</w:t>
            </w:r>
          </w:p>
        </w:tc>
        <w:tc>
          <w:tcPr>
            <w:tcW w:type="dxa" w:w="3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One or two NFL Wild Card games</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Preserve NFL inventory and create an audience handoff.</w:t>
            </w:r>
          </w:p>
        </w:tc>
      </w:tr>
      <w:tr>
        <w:trPr>
          <w:cantSplit/>
          <w:cantSplit/>
          <w:trHeight w:hRule="auto"/>
        </w:trPr>
        <w:tc>
          <w:tcPr>
            <w:tcW w:type="dxa" w:w="2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Saturday, approximately 7:30 p.m. ET</w:t>
            </w:r>
          </w:p>
        </w:tc>
        <w:tc>
          <w:tcPr>
            <w:tcW w:type="dxa" w:w="3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CFP National Championship</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Exclusive college championship window.</w:t>
            </w:r>
          </w:p>
        </w:tc>
      </w:tr>
      <w:tr>
        <w:trPr>
          <w:cantSplit/>
          <w:cantSplit/>
          <w:trHeight w:hRule="auto"/>
        </w:trPr>
        <w:tc>
          <w:tcPr>
            <w:tcW w:type="dxa" w:w="2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Sunday</w:t>
            </w:r>
          </w:p>
        </w:tc>
        <w:tc>
          <w:tcPr>
            <w:tcW w:type="dxa" w:w="3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NFL Wild Card games</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Preserve the NFL’s primary playoff day.</w:t>
            </w:r>
          </w:p>
        </w:tc>
      </w:tr>
      <w:tr>
        <w:trPr>
          <w:cantSplit/>
          <w:cantSplit/>
          <w:trHeight w:hRule="auto"/>
        </w:trPr>
        <w:tc>
          <w:tcPr>
            <w:tcW w:type="dxa" w:w="2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Monday</w:t>
            </w:r>
          </w:p>
        </w:tc>
        <w:tc>
          <w:tcPr>
            <w:tcW w:type="dxa" w:w="3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NFL Wild Card game</w:t>
            </w:r>
          </w:p>
        </w:tc>
        <w:tc>
          <w:tcPr>
            <w:tcW w:type="dxa" w:w="41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Preserve the established Monday conclusion without placing the college title there.</w:t>
            </w:r>
          </w:p>
        </w:tc>
      </w:tr>
    </w:tbl>
    <w:p>
      <w:pPr>
        <w:spacing w:before="0" w:after="40"/>
      </w:pPr>
    </w:p>
    <w:p>
      <w:pPr>
        <w:spacing w:before="0"/>
      </w:pPr>
      <w:r>
        <w:rPr>
          <w:rFonts w:ascii="Calibri" w:hAnsi="Calibri"/>
          <w:b w:val="0"/>
          <w:i/>
        </w:rPr>
        <w:t>The exact kickoff time, number of Saturday NFL games, title-game week, and media allocation are bargaining subjects. The compact establishes the target and the obligation to negotiate it; it does not presume authority to dictate NFL inventory.</w:t>
      </w:r>
    </w:p>
    <w:p>
      <w:pPr>
        <w:pStyle w:val="Heading2"/>
        <w:keepNext/>
        <w:keepLines/>
      </w:pPr>
      <w:r>
        <w:t>4.1A Negotiated calendar scenarios</w:t>
      </w:r>
    </w:p>
    <w:tbl>
      <w:tblPr>
        <w:tblW w:type="dxa" w:w="9360"/>
        <w:jc w:val="left"/>
        <w:tblLayout w:type="fixed"/>
        <w:tblLook w:firstColumn="1" w:firstRow="1" w:lastColumn="0" w:lastRow="0" w:noHBand="0" w:noVBand="1" w:val="04A0"/>
        <w:tblInd w:type="dxa" w:w="120"/>
      </w:tblPr>
      <w:tblGrid>
        <w:gridCol w:w="1500"/>
        <w:gridCol w:w="3000"/>
        <w:gridCol w:w="2960"/>
        <w:gridCol w:w="1900"/>
      </w:tblGrid>
      <w:tr>
        <w:trPr>
          <w:trHeight w:hRule="auto"/>
          <w:tblHeader/>
          <w:cantSplit/>
          <w:cantSplit/>
        </w:trPr>
        <w:tc>
          <w:tcPr>
            <w:tcW w:type="dxa" w:w="15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Scenario</w:t>
            </w:r>
          </w:p>
        </w:tc>
        <w:tc>
          <w:tcPr>
            <w:tcW w:type="dxa" w:w="30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College championship window</w:t>
            </w:r>
          </w:p>
        </w:tc>
        <w:tc>
          <w:tcPr>
            <w:tcW w:type="dxa" w:w="29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NFL accommodation</w:t>
            </w:r>
          </w:p>
        </w:tc>
        <w:tc>
          <w:tcPr>
            <w:tcW w:type="dxa" w:w="19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Use</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Preferred</w:t>
            </w:r>
          </w:p>
        </w:tc>
        <w:tc>
          <w:tcPr>
            <w:tcW w:type="dxa" w:w="3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Saturday, approximately 7:30 p.m. ET, during Wild Card Weekend</w:t>
            </w:r>
          </w:p>
        </w:tc>
        <w:tc>
          <w:tcPr>
            <w:tcW w:type="dxa" w:w="29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One or two earlier Saturday Wild Card games; Sunday and Monday retained</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First bargaining position for the next feasible rights cycle</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Alternate</w:t>
            </w:r>
          </w:p>
        </w:tc>
        <w:tc>
          <w:tcPr>
            <w:tcW w:type="dxa" w:w="3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Friday night immediately before Wild Card Weekend</w:t>
            </w:r>
          </w:p>
        </w:tc>
        <w:tc>
          <w:tcPr>
            <w:tcW w:type="dxa" w:w="29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No change to weekend inventory; coordinated promotion and recovery interval</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Fallback when Saturday exclusivity cannot be cleared</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Continuity fallback</w:t>
            </w:r>
          </w:p>
        </w:tc>
        <w:tc>
          <w:tcPr>
            <w:tcW w:type="dxa" w:w="3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Monday after the Wild Card round or another mutually cleared standalone night</w:t>
            </w:r>
          </w:p>
        </w:tc>
        <w:tc>
          <w:tcPr>
            <w:tcW w:type="dxa" w:w="29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Minimize direct overlap and publish the conflict analysis</w:t>
            </w:r>
          </w:p>
        </w:tc>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Temporary bridge only; does not replace the Saturday objective</w:t>
            </w:r>
          </w:p>
        </w:tc>
      </w:tr>
    </w:tbl>
    <w:p>
      <w:pPr>
        <w:spacing w:before="0" w:after="40"/>
      </w:pPr>
    </w:p>
    <w:p>
      <w:pPr>
        <w:pStyle w:val="Heading2"/>
        <w:keepNext/>
        <w:keepLines/>
      </w:pPr>
      <w:r>
        <w:t>4.2 Annual planning rules</w:t>
      </w:r>
    </w:p>
    <w:p>
      <w:pPr>
        <w:numPr>
          <w:ilvl w:val="0"/>
          <w:numId w:val="10"/>
        </w:numPr>
        <w:keepLines/>
      </w:pPr>
      <w:r>
        <w:rPr>
          <w:rFonts w:ascii="Calibri" w:hAnsi="Calibri"/>
        </w:rPr>
        <w:t>Publish the joint calendar by May 1 before each college football season.</w:t>
      </w:r>
    </w:p>
    <w:p>
      <w:pPr>
        <w:numPr>
          <w:ilvl w:val="0"/>
          <w:numId w:val="10"/>
        </w:numPr>
        <w:keepLines/>
      </w:pPr>
      <w:r>
        <w:rPr>
          <w:rFonts w:ascii="Calibri" w:hAnsi="Calibri"/>
        </w:rPr>
        <w:t>List every CFP and NFL postseason window, all-star event, combine and pro-day period, draft declaration and withdrawal date, portal and signing window, and required medical or academic reporting period.</w:t>
      </w:r>
    </w:p>
    <w:p>
      <w:pPr>
        <w:numPr>
          <w:ilvl w:val="0"/>
          <w:numId w:val="10"/>
        </w:numPr>
        <w:keepLines/>
      </w:pPr>
      <w:r>
        <w:rPr>
          <w:rFonts w:ascii="Calibri" w:hAnsi="Calibri"/>
        </w:rPr>
        <w:t>Produce a broadcast-overlap map for every CFP round and document why any material conflict could not be avoided.</w:t>
      </w:r>
    </w:p>
    <w:p>
      <w:pPr>
        <w:numPr>
          <w:ilvl w:val="0"/>
          <w:numId w:val="10"/>
        </w:numPr>
        <w:keepLines/>
      </w:pPr>
      <w:r>
        <w:rPr>
          <w:rFonts w:ascii="Calibri" w:hAnsi="Calibri"/>
        </w:rPr>
        <w:t>Name one college and one NFL operations lead for weather, postponement, venue, security, and emergency decisions.</w:t>
      </w:r>
    </w:p>
    <w:p>
      <w:pPr>
        <w:numPr>
          <w:ilvl w:val="0"/>
          <w:numId w:val="10"/>
        </w:numPr>
        <w:keepLines/>
      </w:pPr>
      <w:r>
        <w:rPr>
          <w:rFonts w:ascii="Calibri" w:hAnsi="Calibri"/>
        </w:rPr>
        <w:t>Protect at least one meaningful recovery interval between the college championship and required professional evaluation activity.</w:t>
      </w:r>
    </w:p>
    <w:p>
      <w:pPr>
        <w:numPr>
          <w:ilvl w:val="0"/>
          <w:numId w:val="10"/>
        </w:numPr>
        <w:keepLines/>
      </w:pPr>
      <w:r>
        <w:rPr>
          <w:rFonts w:ascii="Calibri" w:hAnsi="Calibri"/>
        </w:rPr>
        <w:t>Avoid placing a draft, combine, agent, or portal deadline on a date that forces a championship participant to decide while still competing.</w:t>
      </w:r>
    </w:p>
    <w:p>
      <w:pPr>
        <w:pStyle w:val="Heading2"/>
        <w:keepNext/>
        <w:keepLines/>
      </w:pPr>
      <w:r>
        <w:t>4.3 Decision tests</w:t>
      </w:r>
    </w:p>
    <w:tbl>
      <w:tblPr>
        <w:tblW w:type="dxa" w:w="9360"/>
        <w:jc w:val="left"/>
        <w:tblLayout w:type="fixed"/>
        <w:tblLook w:firstColumn="1" w:firstRow="1" w:lastColumn="0" w:lastRow="0" w:noHBand="0" w:noVBand="1" w:val="04A0"/>
        <w:tblInd w:type="dxa" w:w="120"/>
      </w:tblPr>
      <w:tblGrid>
        <w:gridCol w:w="1800"/>
        <w:gridCol w:w="3300"/>
        <w:gridCol w:w="4260"/>
      </w:tblGrid>
      <w:tr>
        <w:trPr>
          <w:trHeight w:hRule="auto"/>
          <w:tblHeader/>
          <w:cantSplit/>
          <w:cantSplit/>
        </w:trPr>
        <w:tc>
          <w:tcPr>
            <w:tcW w:type="dxa" w:w="18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Test</w:t>
            </w:r>
          </w:p>
        </w:tc>
        <w:tc>
          <w:tcPr>
            <w:tcW w:type="dxa" w:w="33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Measure</w:t>
            </w:r>
          </w:p>
        </w:tc>
        <w:tc>
          <w:tcPr>
            <w:tcW w:type="dxa" w:w="42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Minimum evidence before adoption</w:t>
            </w:r>
          </w:p>
        </w:tc>
      </w:tr>
      <w:tr>
        <w:trPr>
          <w:cantSplit/>
          <w:cantSplit/>
          <w:trHeight w:hRule="auto"/>
        </w:trPr>
        <w:tc>
          <w:tcPr>
            <w:tcW w:type="dxa" w:w="18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Audience conflict</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Minutes of direct overlap and estimated shared audience</w:t>
            </w:r>
          </w:p>
        </w:tc>
        <w:tc>
          <w:tcPr>
            <w:tcW w:type="dxa" w:w="42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 least three historical and three forward calendar simulations.</w:t>
            </w:r>
          </w:p>
        </w:tc>
      </w:tr>
      <w:tr>
        <w:trPr>
          <w:cantSplit/>
          <w:cantSplit/>
          <w:trHeight w:hRule="auto"/>
        </w:trPr>
        <w:tc>
          <w:tcPr>
            <w:tcW w:type="dxa" w:w="18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Athlete transition</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Days from final game to declarations, all-star events, medical testing, and combine activity</w:t>
            </w:r>
          </w:p>
        </w:tc>
        <w:tc>
          <w:tcPr>
            <w:tcW w:type="dxa" w:w="42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Athlete and NFLPA review of every finalist pathway.</w:t>
            </w:r>
          </w:p>
        </w:tc>
      </w:tr>
      <w:tr>
        <w:trPr>
          <w:cantSplit/>
          <w:cantSplit/>
          <w:trHeight w:hRule="auto"/>
        </w:trPr>
        <w:tc>
          <w:tcPr>
            <w:tcW w:type="dxa" w:w="18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Campus and travel</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Finals, holidays, campus reopenings, weather, and fan travel</w:t>
            </w:r>
          </w:p>
        </w:tc>
        <w:tc>
          <w:tcPr>
            <w:tcW w:type="dxa" w:w="42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Host and finalist operations audit.</w:t>
            </w:r>
          </w:p>
        </w:tc>
      </w:tr>
      <w:tr>
        <w:trPr>
          <w:cantSplit/>
          <w:cantSplit/>
          <w:trHeight w:hRule="auto"/>
        </w:trPr>
        <w:tc>
          <w:tcPr>
            <w:tcW w:type="dxa" w:w="18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Rights feasibility</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Existing contracts, exclusivity, make-goods, and inventory value</w:t>
            </w:r>
          </w:p>
        </w:tc>
        <w:tc>
          <w:tcPr>
            <w:tcW w:type="dxa" w:w="42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Written rights-holder and counsel review.</w:t>
            </w:r>
          </w:p>
        </w:tc>
      </w:tr>
      <w:tr>
        <w:trPr>
          <w:cantSplit/>
          <w:cantSplit/>
          <w:trHeight w:hRule="auto"/>
        </w:trPr>
        <w:tc>
          <w:tcPr>
            <w:tcW w:type="dxa" w:w="18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Contingency</w:t>
            </w:r>
          </w:p>
        </w:tc>
        <w:tc>
          <w:tcPr>
            <w:tcW w:type="dxa" w:w="3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Weather, venue loss, game delay, and public-safety response</w:t>
            </w:r>
          </w:p>
        </w:tc>
        <w:tc>
          <w:tcPr>
            <w:tcW w:type="dxa" w:w="42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Joint tabletop exercise before launch.</w:t>
            </w:r>
          </w:p>
        </w:tc>
      </w:tr>
    </w:tbl>
    <w:p>
      <w:pPr>
        <w:spacing w:before="0" w:after="40"/>
      </w:pPr>
    </w:p>
    <w:p>
      <w:pPr>
        <w:pStyle w:val="Heading1"/>
        <w:keepNext/>
        <w:keepLines/>
      </w:pPr>
      <w:r>
        <w:t>5. One Clean Doorway to professional football</w:t>
      </w:r>
    </w:p>
    <w:p>
      <w:pPr>
        <w:spacing w:before="0"/>
      </w:pPr>
      <w:r>
        <w:rPr>
          <w:rFonts w:ascii="Calibri" w:hAnsi="Calibri"/>
          <w:b w:val="0"/>
          <w:i w:val="0"/>
        </w:rPr>
        <w:t>The rule should distinguish exploration, declaration, withdrawal, and professional commitment. Players deserve qualified information before making an irreversible choice. Institutions deserve a reliable point of roster finality.</w:t>
      </w:r>
    </w:p>
    <w:tbl>
      <w:tblPr>
        <w:tblW w:type="dxa" w:w="9360"/>
        <w:jc w:val="left"/>
        <w:tblLayout w:type="fixed"/>
        <w:tblLook w:firstColumn="1" w:firstRow="1" w:lastColumn="0" w:lastRow="0" w:noHBand="0" w:noVBand="1" w:val="04A0"/>
        <w:tblInd w:type="dxa" w:w="120"/>
      </w:tblPr>
      <w:tblGrid>
        <w:gridCol w:w="1500"/>
        <w:gridCol w:w="4300"/>
        <w:gridCol w:w="3560"/>
      </w:tblGrid>
      <w:tr>
        <w:trPr>
          <w:trHeight w:hRule="auto"/>
          <w:tblHeader/>
          <w:cantSplit/>
          <w:cantSplit/>
        </w:trPr>
        <w:tc>
          <w:tcPr>
            <w:tcW w:type="dxa" w:w="15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Stage</w:t>
            </w:r>
          </w:p>
        </w:tc>
        <w:tc>
          <w:tcPr>
            <w:tcW w:type="dxa" w:w="43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What the athlete may do</w:t>
            </w:r>
          </w:p>
        </w:tc>
        <w:tc>
          <w:tcPr>
            <w:tcW w:type="dxa" w:w="35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Proposed eligibility result</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Explore</w:t>
            </w:r>
          </w:p>
        </w:tc>
        <w:tc>
          <w:tcPr>
            <w:tcW w:type="dxa" w:w="4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Request an advisory grade; retain certified representation and legal advice; receive combine, medical, insurance, and contract information.</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Eligibility remains intact if disclosures and applicable rules are satisfied.</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Declare</w:t>
            </w:r>
          </w:p>
        </w:tc>
        <w:tc>
          <w:tcPr>
            <w:tcW w:type="dxa" w:w="4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Enter the NFL draft process before the national deadline.</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Eligibility remains conditionally available through one published withdrawal deadline.</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Evaluate</w:t>
            </w:r>
          </w:p>
        </w:tc>
        <w:tc>
          <w:tcPr>
            <w:tcW w:type="dxa" w:w="4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Attend authorized all-star, combine, interview, medical, and testing activity under workload and disclosure rules.</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Eligibility remains conditional; participation alone is not professional commitment.</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Withdraw</w:t>
            </w:r>
          </w:p>
        </w:tc>
        <w:tc>
          <w:tcPr>
            <w:tcW w:type="dxa" w:w="4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Exit the draft pool before the deadline and complete institutional and agent disclosures.</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Return is permitted subject to roster, academic, financial-aid, and season-participation rules.</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Commit professionally</w:t>
            </w:r>
          </w:p>
        </w:tc>
        <w:tc>
          <w:tcPr>
            <w:tcW w:type="dxa" w:w="4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Sign an NFL player contract, accept NFL regular-season roster or practice-squad compensation, or participate in an NFL regular-season game.</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College football eligibility ends permanently.</w:t>
            </w:r>
          </w:p>
        </w:tc>
      </w:tr>
      <w:tr>
        <w:trPr>
          <w:cantSplit/>
          <w:cantSplit/>
          <w:trHeight w:hRule="auto"/>
        </w:trPr>
        <w:tc>
          <w:tcPr>
            <w:tcW w:type="dxa" w:w="15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Appeal</w:t>
            </w:r>
          </w:p>
        </w:tc>
        <w:tc>
          <w:tcPr>
            <w:tcW w:type="dxa" w:w="4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Show an administrative error or extraordinary hardship unrelated to football performance or professional outcome.</w:t>
            </w:r>
          </w:p>
        </w:tc>
        <w:tc>
          <w:tcPr>
            <w:tcW w:type="dxa" w:w="35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Independent, narrow review; no performance-regret appeal.</w:t>
            </w:r>
          </w:p>
        </w:tc>
      </w:tr>
    </w:tbl>
    <w:p>
      <w:pPr>
        <w:spacing w:before="0" w:after="40"/>
      </w:pPr>
    </w:p>
    <w:p>
      <w:pPr>
        <w:spacing w:before="120" w:after="200" w:line="288" w:lineRule="auto"/>
        <w:ind w:left="259" w:right="115"/>
        <w:shd w:fill="E8EEF5"/>
        <w:pBdr>
          <w:left w:val="single" w:sz="18" w:space="6" w:color="2E74B5"/>
        </w:pBdr>
        <w:keepLines/>
      </w:pPr>
      <w:r>
        <w:rPr>
          <w:rFonts w:ascii="Calibri" w:hAnsi="Calibri"/>
          <w:b/>
          <w:color w:val="2E74B5"/>
          <w:sz w:val="20"/>
        </w:rPr>
        <w:t xml:space="preserve">FINALITY RULE  </w:t>
      </w:r>
      <w:r>
        <w:rPr>
          <w:rFonts w:ascii="Calibri" w:hAnsi="Calibri"/>
          <w:color w:val="0B2545"/>
          <w:sz w:val="21"/>
        </w:rPr>
        <w:t>Being drafted but unsigned does not, by itself, end eligibility. Finality attaches to a clear professional commitment. Release, draft position, undrafted status, or a changed preference after professional participation does not reopen college eligibility.</w:t>
      </w:r>
    </w:p>
    <w:p>
      <w:pPr>
        <w:spacing w:before="0"/>
      </w:pPr>
      <w:r>
        <w:rPr>
          <w:rFonts w:ascii="Calibri" w:hAnsi="Calibri"/>
          <w:b w:val="0"/>
          <w:i/>
        </w:rPr>
        <w:t>The final legal language must be reconciled with NCAA bylaws, federal and state law, NFL rules, the collective bargaining agreement, and court orders. This proposal states the desired competitive rule, not a conclusion that existing bodies already possess every necessary power.</w:t>
      </w:r>
    </w:p>
    <w:p>
      <w:pPr>
        <w:pStyle w:val="Heading1"/>
        <w:keepNext/>
        <w:keepLines/>
      </w:pPr>
      <w:r>
        <w:t>6. Athlete-controlled information and development</w:t>
      </w:r>
    </w:p>
    <w:p>
      <w:pPr>
        <w:pStyle w:val="Heading2"/>
        <w:keepNext/>
        <w:keepLines/>
      </w:pPr>
      <w:r>
        <w:t>6.1 Medical and biometric data</w:t>
      </w:r>
    </w:p>
    <w:p>
      <w:pPr>
        <w:numPr>
          <w:ilvl w:val="0"/>
          <w:numId w:val="10"/>
        </w:numPr>
        <w:keepLines/>
      </w:pPr>
      <w:r>
        <w:rPr>
          <w:rFonts w:ascii="Calibri" w:hAnsi="Calibri"/>
        </w:rPr>
        <w:t>The athlete owns the decision to authorize transfer of identifiable medical and biometric records, subject to law and legitimate safety requirements.</w:t>
      </w:r>
    </w:p>
    <w:p>
      <w:pPr>
        <w:numPr>
          <w:ilvl w:val="0"/>
          <w:numId w:val="10"/>
        </w:numPr>
        <w:keepLines/>
      </w:pPr>
      <w:r>
        <w:rPr>
          <w:rFonts w:ascii="Calibri" w:hAnsi="Calibri"/>
        </w:rPr>
        <w:t>Consent must be specific, time-limited, revocable where legally possible, and recorded in an access log visible to the athlete.</w:t>
      </w:r>
    </w:p>
    <w:p>
      <w:pPr>
        <w:numPr>
          <w:ilvl w:val="0"/>
          <w:numId w:val="10"/>
        </w:numPr>
        <w:keepLines/>
      </w:pPr>
      <w:r>
        <w:rPr>
          <w:rFonts w:ascii="Calibri" w:hAnsi="Calibri"/>
        </w:rPr>
        <w:t>Players receive the same material medical information supplied to clubs, plus a process to correct factual errors and attach a written response to disputed interpretations.</w:t>
      </w:r>
    </w:p>
    <w:p>
      <w:pPr>
        <w:numPr>
          <w:ilvl w:val="0"/>
          <w:numId w:val="10"/>
        </w:numPr>
        <w:keepLines/>
      </w:pPr>
      <w:r>
        <w:rPr>
          <w:rFonts w:ascii="Calibri" w:hAnsi="Calibri"/>
        </w:rPr>
        <w:t>Data collected for care or draft evaluation may not be repurposed for unrelated commercial, advertising, or surveillance uses without separate consent.</w:t>
      </w:r>
    </w:p>
    <w:p>
      <w:pPr>
        <w:numPr>
          <w:ilvl w:val="0"/>
          <w:numId w:val="10"/>
        </w:numPr>
        <w:keepLines/>
      </w:pPr>
      <w:r>
        <w:rPr>
          <w:rFonts w:ascii="Calibri" w:hAnsi="Calibri"/>
        </w:rPr>
        <w:t>Annual independent security and privacy testing is required, with breach notification and enforcement procedures.</w:t>
      </w:r>
    </w:p>
    <w:p>
      <w:pPr>
        <w:pStyle w:val="Heading2"/>
        <w:keepNext/>
        <w:keepLines/>
      </w:pPr>
      <w:r>
        <w:t>6.2 Verified testing and workload</w:t>
      </w:r>
    </w:p>
    <w:p>
      <w:pPr>
        <w:numPr>
          <w:ilvl w:val="0"/>
          <w:numId w:val="10"/>
        </w:numPr>
        <w:keepLines/>
      </w:pPr>
      <w:r>
        <w:rPr>
          <w:rFonts w:ascii="Calibri" w:hAnsi="Calibri"/>
        </w:rPr>
        <w:t>Create common measurement protocols for height, weight, timing, jumps, position work, and relevant medical screening.</w:t>
      </w:r>
    </w:p>
    <w:p>
      <w:pPr>
        <w:numPr>
          <w:ilvl w:val="0"/>
          <w:numId w:val="10"/>
        </w:numPr>
        <w:keepLines/>
      </w:pPr>
      <w:r>
        <w:rPr>
          <w:rFonts w:ascii="Calibri" w:hAnsi="Calibri"/>
        </w:rPr>
        <w:t>Accept verified college testing when it meets the protocol, reducing duplicative workouts and avoidable injury exposure.</w:t>
      </w:r>
    </w:p>
    <w:p>
      <w:pPr>
        <w:numPr>
          <w:ilvl w:val="0"/>
          <w:numId w:val="10"/>
        </w:numPr>
        <w:keepLines/>
      </w:pPr>
      <w:r>
        <w:rPr>
          <w:rFonts w:ascii="Calibri" w:hAnsi="Calibri"/>
        </w:rPr>
        <w:t>Coordinate all-star, pro-day, combine, interview, and travel expectations so championship participants are not penalized for playing longer.</w:t>
      </w:r>
    </w:p>
    <w:p>
      <w:pPr>
        <w:numPr>
          <w:ilvl w:val="0"/>
          <w:numId w:val="10"/>
        </w:numPr>
        <w:keepLines/>
      </w:pPr>
      <w:r>
        <w:rPr>
          <w:rFonts w:ascii="Calibri" w:hAnsi="Calibri"/>
        </w:rPr>
        <w:t>Publish maximum recommended testing and travel loads and audit exceptions by club, event, and institution in aggregate.</w:t>
      </w:r>
    </w:p>
    <w:p>
      <w:pPr>
        <w:pStyle w:val="Heading2"/>
        <w:keepNext/>
        <w:keepLines/>
      </w:pPr>
      <w:r>
        <w:t>6.3 Insurance, education, and transition support</w:t>
      </w:r>
    </w:p>
    <w:tbl>
      <w:tblPr>
        <w:tblW w:type="dxa" w:w="9360"/>
        <w:jc w:val="left"/>
        <w:tblLayout w:type="fixed"/>
        <w:tblLook w:firstColumn="1" w:firstRow="1" w:lastColumn="0" w:lastRow="0" w:noHBand="0" w:noVBand="1" w:val="04A0"/>
        <w:tblInd w:type="dxa" w:w="120"/>
      </w:tblPr>
      <w:tblGrid>
        <w:gridCol w:w="1900"/>
        <w:gridCol w:w="4400"/>
        <w:gridCol w:w="3060"/>
      </w:tblGrid>
      <w:tr>
        <w:trPr>
          <w:trHeight w:hRule="auto"/>
          <w:tblHeader/>
          <w:cantSplit/>
          <w:cantSplit/>
        </w:trPr>
        <w:tc>
          <w:tcPr>
            <w:tcW w:type="dxa" w:w="19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Program</w:t>
            </w:r>
          </w:p>
        </w:tc>
        <w:tc>
          <w:tcPr>
            <w:tcW w:type="dxa" w:w="44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Required service</w:t>
            </w:r>
          </w:p>
        </w:tc>
        <w:tc>
          <w:tcPr>
            <w:tcW w:type="dxa" w:w="30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Proposed funding responsibility</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Insurance education</w:t>
            </w:r>
          </w:p>
        </w:tc>
        <w:tc>
          <w:tcPr>
            <w:tcW w:type="dxa" w:w="44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Independent explanation of loss-of-value, disability, exclusions, premiums, claims, and tax treatment.</w:t>
            </w:r>
          </w:p>
        </w:tc>
        <w:tc>
          <w:tcPr>
            <w:tcW w:type="dxa" w:w="3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Shared college/NFL/NFLPA support with no insurer control of the curriculum.</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Degree completion</w:t>
            </w:r>
          </w:p>
        </w:tc>
        <w:tc>
          <w:tcPr>
            <w:tcW w:type="dxa" w:w="44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Tuition and academic advising for former players who leave in good standing.</w:t>
            </w:r>
          </w:p>
        </w:tc>
        <w:tc>
          <w:tcPr>
            <w:tcW w:type="dxa" w:w="3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Dedicated compact fund with institutional administration and public aggregate reporting.</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Undrafted transition</w:t>
            </w:r>
          </w:p>
        </w:tc>
        <w:tc>
          <w:tcPr>
            <w:tcW w:type="dxa" w:w="44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Career, financial, mental-health, housing, and benefits counseling after draft or release.</w:t>
            </w:r>
          </w:p>
        </w:tc>
        <w:tc>
          <w:tcPr>
            <w:tcW w:type="dxa" w:w="3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NFL/NFLPA transition services coordinated with the athlete’s institution.</w:t>
            </w:r>
          </w:p>
        </w:tc>
      </w:tr>
      <w:tr>
        <w:trPr>
          <w:cantSplit/>
          <w:cantSplit/>
          <w:trHeight w:hRule="auto"/>
        </w:trPr>
        <w:tc>
          <w:tcPr>
            <w:tcW w:type="dxa" w:w="19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Long-term health</w:t>
            </w:r>
          </w:p>
        </w:tc>
        <w:tc>
          <w:tcPr>
            <w:tcW w:type="dxa" w:w="44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Research, screening, and clinically appropriate referrals independent of roster status.</w:t>
            </w:r>
          </w:p>
        </w:tc>
        <w:tc>
          <w:tcPr>
            <w:tcW w:type="dxa" w:w="3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Jointly funded research and care programs with independent scientific governance.</w:t>
            </w:r>
          </w:p>
        </w:tc>
      </w:tr>
    </w:tbl>
    <w:p>
      <w:pPr>
        <w:spacing w:before="0" w:after="40"/>
      </w:pPr>
    </w:p>
    <w:p>
      <w:pPr>
        <w:pStyle w:val="Heading1"/>
        <w:keepNext/>
        <w:keepLines/>
      </w:pPr>
      <w:r>
        <w:t>7. Governance, reporting, and enforcement</w:t>
      </w:r>
    </w:p>
    <w:tbl>
      <w:tblPr>
        <w:tblW w:type="dxa" w:w="9360"/>
        <w:jc w:val="left"/>
        <w:tblLayout w:type="fixed"/>
        <w:tblLook w:firstColumn="1" w:firstRow="1" w:lastColumn="0" w:lastRow="0" w:noHBand="0" w:noVBand="1" w:val="04A0"/>
        <w:tblInd w:type="dxa" w:w="120"/>
      </w:tblPr>
      <w:tblGrid>
        <w:gridCol w:w="2000"/>
        <w:gridCol w:w="7360"/>
      </w:tblGrid>
      <w:tr>
        <w:trPr>
          <w:trHeight w:hRule="auto"/>
          <w:tblHeader/>
          <w:cantSplit/>
          <w:cantSplit/>
        </w:trPr>
        <w:tc>
          <w:tcPr>
            <w:tcW w:type="dxa" w:w="20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Element</w:t>
            </w:r>
          </w:p>
        </w:tc>
        <w:tc>
          <w:tcPr>
            <w:tcW w:type="dxa" w:w="73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Proposed term</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Term</w:t>
            </w:r>
          </w:p>
        </w:tc>
        <w:tc>
          <w:tcPr>
            <w:tcW w:type="dxa" w:w="73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Three years, renewable only after a public review of performance and unresolved risks.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Council</w:t>
            </w:r>
          </w:p>
        </w:tc>
        <w:tc>
          <w:tcPr>
            <w:tcW w:type="dxa" w:w="73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Voting representatives of CFP management, NCAA Division I, FBS conferences and independents, NFL, NFLPA, and current/former college players; nonvoting expert advisers.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Working groups</w:t>
            </w:r>
          </w:p>
        </w:tc>
        <w:tc>
          <w:tcPr>
            <w:tcW w:type="dxa" w:w="73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Calendar and media; eligibility and transition; medical and data; education and insurance; audit and disputes.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Annual report</w:t>
            </w:r>
          </w:p>
        </w:tc>
        <w:tc>
          <w:tcPr>
            <w:tcW w:type="dxa" w:w="73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Calendar conflicts, declarations, withdrawals, professional commitments, appeals, degree completion, transition services, material incidents, and compact amendments.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Disputes</w:t>
            </w:r>
          </w:p>
        </w:tc>
        <w:tc>
          <w:tcPr>
            <w:tcW w:type="dxa" w:w="73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Escalation from working group to council; independent mediation for cross-authority disputes; no waiver of collectively bargained or statutory rights.</w:t>
            </w:r>
          </w:p>
        </w:tc>
      </w:tr>
      <w:tr>
        <w:trPr>
          <w:cantSplit/>
          <w:cantSplit/>
          <w:trHeight w:hRule="auto"/>
        </w:trPr>
        <w:tc>
          <w:tcPr>
            <w:tcW w:type="dxa" w:w="20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Sunset</w:t>
            </w:r>
          </w:p>
        </w:tc>
        <w:tc>
          <w:tcPr>
            <w:tcW w:type="dxa" w:w="73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Automatic expiration absent affirmative renewal; athlete data and benefit obligations survive as required by law and prior commitments.</w:t>
            </w:r>
          </w:p>
        </w:tc>
      </w:tr>
    </w:tbl>
    <w:p>
      <w:pPr>
        <w:spacing w:before="0" w:after="40"/>
      </w:pPr>
    </w:p>
    <w:p>
      <w:pPr>
        <w:spacing w:before="0"/>
      </w:pPr>
      <w:r>
        <w:rPr>
          <w:rFonts w:ascii="Calibri" w:hAnsi="Calibri"/>
          <w:b w:val="0"/>
          <w:i w:val="0"/>
        </w:rPr>
        <w:t>The council should publish decisions and dissents except where law, collective bargaining, medical privacy, or confidential rights negotiations require limited treatment. Confidentiality may protect negotiations; it should not hide the final rule or the evidence used to evaluate it.</w:t>
      </w:r>
    </w:p>
    <w:p>
      <w:pPr>
        <w:pStyle w:val="Heading1"/>
        <w:keepNext/>
        <w:keepLines/>
      </w:pPr>
      <w:r>
        <w:t>8. Pilot scorecard and success measures</w:t>
      </w:r>
    </w:p>
    <w:tbl>
      <w:tblPr>
        <w:tblW w:type="dxa" w:w="9360"/>
        <w:jc w:val="left"/>
        <w:tblLayout w:type="fixed"/>
        <w:tblLook w:firstColumn="1" w:firstRow="1" w:lastColumn="0" w:lastRow="0" w:noHBand="0" w:noVBand="1" w:val="04A0"/>
        <w:tblInd w:type="dxa" w:w="120"/>
      </w:tblPr>
      <w:tblGrid>
        <w:gridCol w:w="2300"/>
        <w:gridCol w:w="4200"/>
        <w:gridCol w:w="2860"/>
      </w:tblGrid>
      <w:tr>
        <w:trPr>
          <w:trHeight w:hRule="auto"/>
          <w:tblHeader/>
          <w:cantSplit/>
          <w:cantSplit/>
        </w:trPr>
        <w:tc>
          <w:tcPr>
            <w:tcW w:type="dxa" w:w="23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Measure</w:t>
            </w:r>
          </w:p>
        </w:tc>
        <w:tc>
          <w:tcPr>
            <w:tcW w:type="dxa" w:w="42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One-season pilot target</w:t>
            </w:r>
          </w:p>
        </w:tc>
        <w:tc>
          <w:tcPr>
            <w:tcW w:type="dxa" w:w="28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6"/>
              </w:rPr>
              <w:t>Evidence owner</w:t>
            </w:r>
          </w:p>
        </w:tc>
      </w:tr>
      <w:tr>
        <w:trPr>
          <w:cantSplit/>
          <w:cantSplit/>
          <w:trHeight w:hRule="auto"/>
        </w:trPr>
        <w:tc>
          <w:tcPr>
            <w:tcW w:type="dxa" w:w="2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Direct CFP–NFL overlap</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Every material overlap mapped; avoidable conflicts reduced from the baseline</w:t>
            </w:r>
          </w:p>
        </w:tc>
        <w:tc>
          <w:tcPr>
            <w:tcW w:type="dxa" w:w="28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Joint calendar working group</w:t>
            </w:r>
          </w:p>
        </w:tc>
      </w:tr>
      <w:tr>
        <w:trPr>
          <w:cantSplit/>
          <w:cantSplit/>
          <w:trHeight w:hRule="auto"/>
        </w:trPr>
        <w:tc>
          <w:tcPr>
            <w:tcW w:type="dxa" w:w="2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Calendar certainty</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Joint dates published by May 1; later changes explained within 14 days</w:t>
            </w:r>
          </w:p>
        </w:tc>
        <w:tc>
          <w:tcPr>
            <w:tcW w:type="dxa" w:w="28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CFP and NFL operations leads</w:t>
            </w:r>
          </w:p>
        </w:tc>
      </w:tr>
      <w:tr>
        <w:trPr>
          <w:cantSplit/>
          <w:cantSplit/>
          <w:trHeight w:hRule="auto"/>
        </w:trPr>
        <w:tc>
          <w:tcPr>
            <w:tcW w:type="dxa" w:w="2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Finalist recovery</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No finalist forced into a declaration, combine, or portal decision while still competing</w:t>
            </w:r>
          </w:p>
        </w:tc>
        <w:tc>
          <w:tcPr>
            <w:tcW w:type="dxa" w:w="28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Athlete-transition working group</w:t>
            </w:r>
          </w:p>
        </w:tc>
      </w:tr>
      <w:tr>
        <w:trPr>
          <w:cantSplit/>
          <w:cantSplit/>
          <w:trHeight w:hRule="auto"/>
        </w:trPr>
        <w:tc>
          <w:tcPr>
            <w:tcW w:type="dxa" w:w="2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Status clarity</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Every athlete receives one written timeline and one appeal route; zero conflicting national deadlines</w:t>
            </w:r>
          </w:p>
        </w:tc>
        <w:tc>
          <w:tcPr>
            <w:tcW w:type="dxa" w:w="28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NCAA/NFL transition administrators</w:t>
            </w:r>
          </w:p>
        </w:tc>
      </w:tr>
      <w:tr>
        <w:trPr>
          <w:cantSplit/>
          <w:cantSplit/>
          <w:trHeight w:hRule="auto"/>
        </w:trPr>
        <w:tc>
          <w:tcPr>
            <w:tcW w:type="dxa" w:w="2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Data rights</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100% documented consent and access logging for compact-covered medical or biometric transfers</w:t>
            </w:r>
          </w:p>
        </w:tc>
        <w:tc>
          <w:tcPr>
            <w:tcW w:type="dxa" w:w="28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Independent privacy auditor</w:t>
            </w:r>
          </w:p>
        </w:tc>
      </w:tr>
      <w:tr>
        <w:trPr>
          <w:cantSplit/>
          <w:cantSplit/>
          <w:trHeight w:hRule="auto"/>
        </w:trPr>
        <w:tc>
          <w:tcPr>
            <w:tcW w:type="dxa" w:w="23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Public accountability</w:t>
            </w:r>
          </w:p>
        </w:tc>
        <w:tc>
          <w:tcPr>
            <w:tcW w:type="dxa" w:w="42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Annual report, dissents, incidents, corrective actions, and renewal recommendation published</w:t>
            </w:r>
          </w:p>
        </w:tc>
        <w:tc>
          <w:tcPr>
            <w:tcW w:type="dxa" w:w="28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6"/>
              </w:rPr>
              <w:t>Independent auditor and council</w:t>
            </w:r>
          </w:p>
        </w:tc>
      </w:tr>
    </w:tbl>
    <w:p>
      <w:pPr>
        <w:spacing w:before="0" w:after="40"/>
      </w:pPr>
    </w:p>
    <w:p>
      <w:pPr>
        <w:pStyle w:val="Heading1"/>
        <w:keepNext/>
        <w:keepLines/>
      </w:pPr>
      <w:r>
        <w:t>9. Implementation sequence</w:t>
      </w:r>
    </w:p>
    <w:tbl>
      <w:tblPr>
        <w:tblW w:type="dxa" w:w="9360"/>
        <w:jc w:val="left"/>
        <w:tblLayout w:type="fixed"/>
        <w:tblLook w:firstColumn="1" w:firstRow="1" w:lastColumn="0" w:lastRow="0" w:noHBand="0" w:noVBand="1" w:val="04A0"/>
        <w:tblInd w:type="dxa" w:w="120"/>
      </w:tblPr>
      <w:tblGrid>
        <w:gridCol w:w="1700"/>
        <w:gridCol w:w="1600"/>
        <w:gridCol w:w="6060"/>
      </w:tblGrid>
      <w:tr>
        <w:trPr>
          <w:trHeight w:hRule="auto"/>
          <w:tblHeader/>
          <w:cantSplit/>
          <w:cantSplit/>
        </w:trPr>
        <w:tc>
          <w:tcPr>
            <w:tcW w:type="dxa" w:w="17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Phase</w:t>
            </w:r>
          </w:p>
        </w:tc>
        <w:tc>
          <w:tcPr>
            <w:tcW w:type="dxa" w:w="160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Timing</w:t>
            </w:r>
          </w:p>
        </w:tc>
        <w:tc>
          <w:tcPr>
            <w:tcW w:type="dxa" w:w="606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Deliverable and exit criterion</w:t>
            </w:r>
          </w:p>
        </w:tc>
      </w:tr>
      <w:tr>
        <w:trPr>
          <w:cantSplit/>
          <w:cantSplit/>
          <w:trHeight w:hRule="auto"/>
        </w:trPr>
        <w:tc>
          <w:tcPr>
            <w:tcW w:type="dxa" w:w="1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1 · Charter</w:t>
            </w:r>
          </w:p>
        </w:tc>
        <w:tc>
          <w:tcPr>
            <w:tcW w:type="dxa" w:w="16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0–90 days</w:t>
            </w:r>
          </w:p>
        </w:tc>
        <w:tc>
          <w:tcPr>
            <w:tcW w:type="dxa" w:w="6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Identify authorized representatives, decision rights, athlete seats, legal constraints, and data requests.</w:t>
            </w:r>
          </w:p>
        </w:tc>
      </w:tr>
      <w:tr>
        <w:trPr>
          <w:cantSplit/>
          <w:cantSplit/>
          <w:trHeight w:hRule="auto"/>
        </w:trPr>
        <w:tc>
          <w:tcPr>
            <w:tcW w:type="dxa" w:w="1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2 · Calendar simulation</w:t>
            </w:r>
          </w:p>
        </w:tc>
        <w:tc>
          <w:tcPr>
            <w:tcW w:type="dxa" w:w="16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3–6 months</w:t>
            </w:r>
          </w:p>
        </w:tc>
        <w:tc>
          <w:tcPr>
            <w:tcW w:type="dxa" w:w="6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Model at least six annual calendars and demonstrate the Saturday-night title target, finalist recovery, and contingency plans.</w:t>
            </w:r>
          </w:p>
        </w:tc>
      </w:tr>
      <w:tr>
        <w:trPr>
          <w:cantSplit/>
          <w:cantSplit/>
          <w:trHeight w:hRule="auto"/>
        </w:trPr>
        <w:tc>
          <w:tcPr>
            <w:tcW w:type="dxa" w:w="1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3 · Transition drafting</w:t>
            </w:r>
          </w:p>
        </w:tc>
        <w:tc>
          <w:tcPr>
            <w:tcW w:type="dxa" w:w="16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Parallel</w:t>
            </w:r>
          </w:p>
        </w:tc>
        <w:tc>
          <w:tcPr>
            <w:tcW w:type="dxa" w:w="6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Produce bylaw, NFL-rule, collective-bargaining, agent, contract, roster, privacy, insurance, and appeals crosswalk.</w:t>
            </w:r>
          </w:p>
        </w:tc>
      </w:tr>
      <w:tr>
        <w:trPr>
          <w:cantSplit/>
          <w:cantSplit/>
          <w:trHeight w:hRule="auto"/>
        </w:trPr>
        <w:tc>
          <w:tcPr>
            <w:tcW w:type="dxa" w:w="1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4 · Pilot</w:t>
            </w:r>
          </w:p>
        </w:tc>
        <w:tc>
          <w:tcPr>
            <w:tcW w:type="dxa" w:w="16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1 season</w:t>
            </w:r>
          </w:p>
        </w:tc>
        <w:tc>
          <w:tcPr>
            <w:tcW w:type="dxa" w:w="6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Publish a nonbinding joint calendar and operate a player-transition information portal without changing eligibility finality.</w:t>
            </w:r>
          </w:p>
        </w:tc>
      </w:tr>
      <w:tr>
        <w:trPr>
          <w:cantSplit/>
          <w:cantSplit/>
          <w:trHeight w:hRule="auto"/>
        </w:trPr>
        <w:tc>
          <w:tcPr>
            <w:tcW w:type="dxa" w:w="1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5 · Adoption</w:t>
            </w:r>
          </w:p>
        </w:tc>
        <w:tc>
          <w:tcPr>
            <w:tcW w:type="dxa" w:w="16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Negotiated cycle</w:t>
            </w:r>
          </w:p>
        </w:tc>
        <w:tc>
          <w:tcPr>
            <w:tcW w:type="dxa" w:w="6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Execute the three-year compact and any separate governing-body, rights, and collectively bargained instruments.</w:t>
            </w:r>
          </w:p>
        </w:tc>
      </w:tr>
      <w:tr>
        <w:trPr>
          <w:cantSplit/>
          <w:cantSplit/>
          <w:trHeight w:hRule="auto"/>
        </w:trPr>
        <w:tc>
          <w:tcPr>
            <w:tcW w:type="dxa" w:w="17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6 · Audit</w:t>
            </w:r>
          </w:p>
        </w:tc>
        <w:tc>
          <w:tcPr>
            <w:tcW w:type="dxa" w:w="160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Annually</w:t>
            </w:r>
          </w:p>
        </w:tc>
        <w:tc>
          <w:tcPr>
            <w:tcW w:type="dxa" w:w="606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Independent public report, corrective plan, and renewal recommendation.</w:t>
            </w:r>
          </w:p>
        </w:tc>
      </w:tr>
    </w:tbl>
    <w:p>
      <w:pPr>
        <w:spacing w:before="0" w:after="40"/>
      </w:pPr>
    </w:p>
    <w:p>
      <w:pPr>
        <w:pStyle w:val="Heading1"/>
        <w:keepNext/>
        <w:keepLines/>
      </w:pPr>
      <w:r>
        <w:t>10. Negotiation agenda</w:t>
      </w:r>
    </w:p>
    <w:p>
      <w:pPr>
        <w:numPr>
          <w:ilvl w:val="0"/>
          <w:numId w:val="11"/>
        </w:numPr>
        <w:keepLines/>
      </w:pPr>
      <w:r>
        <w:rPr>
          <w:rFonts w:ascii="Calibri" w:hAnsi="Calibri"/>
        </w:rPr>
        <w:t>Which future season and rights cycle can first support the Saturday-night championship target?</w:t>
      </w:r>
    </w:p>
    <w:p>
      <w:pPr>
        <w:numPr>
          <w:ilvl w:val="0"/>
          <w:numId w:val="11"/>
        </w:numPr>
        <w:keepLines/>
      </w:pPr>
      <w:r>
        <w:rPr>
          <w:rFonts w:ascii="Calibri" w:hAnsi="Calibri"/>
        </w:rPr>
        <w:t>How many NFL Saturday games and what handoff interval preserve both packages?</w:t>
      </w:r>
    </w:p>
    <w:p>
      <w:pPr>
        <w:numPr>
          <w:ilvl w:val="0"/>
          <w:numId w:val="11"/>
        </w:numPr>
        <w:keepLines/>
      </w:pPr>
      <w:r>
        <w:rPr>
          <w:rFonts w:ascii="Calibri" w:hAnsi="Calibri"/>
        </w:rPr>
        <w:t>Which act creates irreversible professional commitment, and which body administers the record of that act?</w:t>
      </w:r>
    </w:p>
    <w:p>
      <w:pPr>
        <w:numPr>
          <w:ilvl w:val="0"/>
          <w:numId w:val="11"/>
        </w:numPr>
        <w:keepLines/>
      </w:pPr>
      <w:r>
        <w:rPr>
          <w:rFonts w:ascii="Calibri" w:hAnsi="Calibri"/>
        </w:rPr>
        <w:t>How will the withdrawal deadline interact with college roster, portal, signing, financial-aid, and academic calendars?</w:t>
      </w:r>
    </w:p>
    <w:p>
      <w:pPr>
        <w:numPr>
          <w:ilvl w:val="0"/>
          <w:numId w:val="11"/>
        </w:numPr>
        <w:keepLines/>
      </w:pPr>
      <w:r>
        <w:rPr>
          <w:rFonts w:ascii="Calibri" w:hAnsi="Calibri"/>
        </w:rPr>
        <w:t>What player data are actually necessary, who can access them, and how does an athlete correct or revoke them?</w:t>
      </w:r>
    </w:p>
    <w:p>
      <w:pPr>
        <w:numPr>
          <w:ilvl w:val="0"/>
          <w:numId w:val="11"/>
        </w:numPr>
        <w:keepLines/>
      </w:pPr>
      <w:r>
        <w:rPr>
          <w:rFonts w:ascii="Calibri" w:hAnsi="Calibri"/>
        </w:rPr>
        <w:t>What NFL/NFLPA financial contribution is appropriate for degree completion, insurance education, transition support, and long-term health research?</w:t>
      </w:r>
    </w:p>
    <w:p>
      <w:pPr>
        <w:numPr>
          <w:ilvl w:val="0"/>
          <w:numId w:val="11"/>
        </w:numPr>
        <w:keepLines/>
      </w:pPr>
      <w:r>
        <w:rPr>
          <w:rFonts w:ascii="Calibri" w:hAnsi="Calibri"/>
        </w:rPr>
        <w:t>Which provisions require collective bargaining, federal or state legislation, NCAA legislation, CFP approval, conference consent, or private contract amendments?</w:t>
      </w:r>
    </w:p>
    <w:p>
      <w:pPr>
        <w:numPr>
          <w:ilvl w:val="0"/>
          <w:numId w:val="11"/>
        </w:numPr>
        <w:keepLines/>
      </w:pPr>
      <w:r>
        <w:rPr>
          <w:rFonts w:ascii="Calibri" w:hAnsi="Calibri"/>
        </w:rPr>
        <w:t>What metrics will trigger correction, nonrenewal, or sunset?</w:t>
      </w:r>
    </w:p>
    <w:p>
      <w:pPr>
        <w:pStyle w:val="Heading1"/>
        <w:keepNext/>
        <w:keepLines/>
      </w:pPr>
      <w:r>
        <w:t>11. Draft term sheet</w:t>
      </w:r>
    </w:p>
    <w:tbl>
      <w:tblPr>
        <w:tblW w:type="dxa" w:w="9360"/>
        <w:jc w:val="left"/>
        <w:tblLayout w:type="fixed"/>
        <w:tblLook w:firstColumn="1" w:firstRow="1" w:lastColumn="0" w:lastRow="0" w:noHBand="0" w:noVBand="1" w:val="04A0"/>
        <w:tblInd w:type="dxa" w:w="120"/>
      </w:tblPr>
      <w:tblGrid>
        <w:gridCol w:w="2050"/>
        <w:gridCol w:w="7310"/>
      </w:tblGrid>
      <w:tr>
        <w:trPr>
          <w:trHeight w:hRule="auto"/>
          <w:tblHeader/>
          <w:cantSplit/>
          <w:cantSplit/>
        </w:trPr>
        <w:tc>
          <w:tcPr>
            <w:tcW w:type="dxa" w:w="205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Term</w:t>
            </w:r>
          </w:p>
        </w:tc>
        <w:tc>
          <w:tcPr>
            <w:tcW w:type="dxa" w:w="7310"/>
            <w:vAlign w:val="center"/>
            <w:shd w:fill="F2F4F7"/>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4" w:lineRule="auto"/>
            </w:pPr>
            <w:r>
              <w:rPr>
                <w:rFonts w:ascii="Calibri" w:hAnsi="Calibri"/>
                <w:b/>
                <w:color w:val="0B2545"/>
                <w:sz w:val="17"/>
              </w:rPr>
              <w:t>Proposed language for negotiation</w:t>
            </w:r>
          </w:p>
        </w:tc>
      </w:tr>
      <w:tr>
        <w:trPr>
          <w:cantSplit/>
          <w:cantSplit/>
          <w:trHeight w:hRule="auto"/>
        </w:trPr>
        <w:tc>
          <w:tcPr>
            <w:tcW w:type="dxa" w:w="20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Purpose</w:t>
            </w:r>
          </w:p>
        </w:tc>
        <w:tc>
          <w:tcPr>
            <w:tcW w:type="dxa" w:w="73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Coordinate the shared calendar and athlete transition while preserving the separate identities and legal authority of college and professional football.</w:t>
            </w:r>
          </w:p>
        </w:tc>
      </w:tr>
      <w:tr>
        <w:trPr>
          <w:cantSplit/>
          <w:cantSplit/>
          <w:trHeight w:hRule="auto"/>
        </w:trPr>
        <w:tc>
          <w:tcPr>
            <w:tcW w:type="dxa" w:w="20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Championship target</w:t>
            </w:r>
          </w:p>
        </w:tc>
        <w:tc>
          <w:tcPr>
            <w:tcW w:type="dxa" w:w="73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Use commercially reasonable efforts to reserve Saturday at approximately 7:30 p.m. Eastern during NFL Wild Card Weekend for the CFP National Championship in the first feasible negotiated cycle.</w:t>
            </w:r>
          </w:p>
        </w:tc>
      </w:tr>
      <w:tr>
        <w:trPr>
          <w:cantSplit/>
          <w:cantSplit/>
          <w:trHeight w:hRule="auto"/>
        </w:trPr>
        <w:tc>
          <w:tcPr>
            <w:tcW w:type="dxa" w:w="20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Calendar publication</w:t>
            </w:r>
          </w:p>
        </w:tc>
        <w:tc>
          <w:tcPr>
            <w:tcW w:type="dxa" w:w="73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Publish the joint calendar by May 1 and a material-conflict explanation within 14 days of any later change.</w:t>
            </w:r>
          </w:p>
        </w:tc>
      </w:tr>
      <w:tr>
        <w:trPr>
          <w:cantSplit/>
          <w:cantSplit/>
          <w:trHeight w:hRule="auto"/>
        </w:trPr>
        <w:tc>
          <w:tcPr>
            <w:tcW w:type="dxa" w:w="20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Transition protocol</w:t>
            </w:r>
          </w:p>
        </w:tc>
        <w:tc>
          <w:tcPr>
            <w:tcW w:type="dxa" w:w="73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Maintain one public declaration, withdrawal, professional-commitment, and appeals standard with synchronized college roster dates.</w:t>
            </w:r>
          </w:p>
        </w:tc>
      </w:tr>
      <w:tr>
        <w:trPr>
          <w:cantSplit/>
          <w:cantSplit/>
          <w:trHeight w:hRule="auto"/>
        </w:trPr>
        <w:tc>
          <w:tcPr>
            <w:tcW w:type="dxa" w:w="20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Athlete rights</w:t>
            </w:r>
          </w:p>
        </w:tc>
        <w:tc>
          <w:tcPr>
            <w:tcW w:type="dxa" w:w="73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Provide meaningful athlete representation, informed consent, access and correction rights, independent advice, and no waiver of statutory or collectively bargained rights.</w:t>
            </w:r>
          </w:p>
        </w:tc>
      </w:tr>
      <w:tr>
        <w:trPr>
          <w:cantSplit/>
          <w:cantSplit/>
          <w:trHeight w:hRule="auto"/>
        </w:trPr>
        <w:tc>
          <w:tcPr>
            <w:tcW w:type="dxa" w:w="20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Reciprocal support</w:t>
            </w:r>
          </w:p>
        </w:tc>
        <w:tc>
          <w:tcPr>
            <w:tcW w:type="dxa" w:w="73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Fund agreed degree-completion, insurance, transition, and health programs before discretionary compact spending.</w:t>
            </w:r>
          </w:p>
        </w:tc>
      </w:tr>
      <w:tr>
        <w:trPr>
          <w:cantSplit/>
          <w:cantSplit/>
          <w:trHeight w:hRule="auto"/>
        </w:trPr>
        <w:tc>
          <w:tcPr>
            <w:tcW w:type="dxa" w:w="205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Audit and renewal</w:t>
            </w:r>
          </w:p>
        </w:tc>
        <w:tc>
          <w:tcPr>
            <w:tcW w:type="dxa" w:w="7310"/>
            <w:vAlign w:val="center"/>
            <w:tcBorders>
              <w:top w:val="single" w:sz="4" w:color="C8D0D9"/>
              <w:left w:val="single" w:sz="4" w:color="C8D0D9"/>
              <w:bottom w:val="single" w:sz="4" w:color="C8D0D9"/>
              <w:right w:val="single" w:sz="4" w:color="C8D0D9"/>
              <w:insideH w:val="single" w:sz="4" w:color="C8D0D9"/>
              <w:insideV w:val="single" w:sz="4" w:color="C8D0D9"/>
            </w:tcBorders>
            <w:tcMar>
              <w:top w:w="80" w:type="dxa"/>
              <w:bottom w:w="80" w:type="dxa"/>
              <w:start w:w="120" w:type="dxa"/>
              <w:end w:w="120" w:type="dxa"/>
            </w:tcMar>
          </w:tcPr>
          <w:p>
            <w:pPr>
              <w:spacing w:before="0" w:after="0" w:line="269" w:lineRule="auto"/>
            </w:pPr>
            <w:r>
              <w:rPr>
                <w:rFonts w:ascii="Calibri" w:hAnsi="Calibri"/>
                <w:sz w:val="17"/>
              </w:rPr>
              <w:t>Commission an annual independent audit; renew only after public findings and written corrective actions.</w:t>
            </w:r>
          </w:p>
        </w:tc>
      </w:tr>
    </w:tbl>
    <w:p>
      <w:pPr>
        <w:spacing w:before="0" w:after="40"/>
      </w:pPr>
    </w:p>
    <w:p>
      <w:pPr>
        <w:pStyle w:val="Heading1"/>
        <w:keepNext/>
        <w:keepLines/>
      </w:pPr>
      <w:r>
        <w:t>12. Sources</w:t>
      </w:r>
    </w:p>
    <w:p>
      <w:pPr>
        <w:spacing w:after="60" w:line="240" w:lineRule="auto"/>
        <w:ind w:left="317"/>
        <w:keepLines/>
      </w:pPr>
      <w:hyperlink r:id="rId11">
        <w:r>
          <w:rPr>
            <w:rFonts w:ascii="Calibri" w:hAnsi="Calibri"/>
            <w:color w:val="2E74B5"/>
            <w:u w:val="single"/>
            <w:sz w:val="17"/>
            <w:szCs w:val="17"/>
          </w:rPr>
          <w:t>College Football Playoff, Governance</w:t>
        </w:r>
      </w:hyperlink>
    </w:p>
    <w:p>
      <w:pPr>
        <w:spacing w:after="60" w:line="240" w:lineRule="auto"/>
        <w:ind w:left="317"/>
        <w:keepLines/>
      </w:pPr>
      <w:hyperlink r:id="rId12">
        <w:r>
          <w:rPr>
            <w:rFonts w:ascii="Calibri" w:hAnsi="Calibri"/>
            <w:color w:val="2E74B5"/>
            <w:u w:val="single"/>
            <w:sz w:val="17"/>
            <w:szCs w:val="17"/>
          </w:rPr>
          <w:t>College Football Playoff, Las Vegas to Host 2027 College Football Playoff National Championship</w:t>
        </w:r>
      </w:hyperlink>
    </w:p>
    <w:p>
      <w:pPr>
        <w:spacing w:after="60" w:line="240" w:lineRule="auto"/>
        <w:ind w:left="317"/>
        <w:keepLines/>
      </w:pPr>
      <w:hyperlink r:id="rId13">
        <w:r>
          <w:rPr>
            <w:rFonts w:ascii="Calibri" w:hAnsi="Calibri"/>
            <w:color w:val="2E74B5"/>
            <w:u w:val="single"/>
            <w:sz w:val="17"/>
            <w:szCs w:val="17"/>
          </w:rPr>
          <w:t>NFL Football Operations, NFL Important Dates</w:t>
        </w:r>
      </w:hyperlink>
    </w:p>
    <w:p>
      <w:pPr>
        <w:spacing w:after="60" w:line="240" w:lineRule="auto"/>
        <w:ind w:left="317"/>
        <w:keepLines/>
      </w:pPr>
      <w:hyperlink r:id="rId14">
        <w:r>
          <w:rPr>
            <w:rFonts w:ascii="Calibri" w:hAnsi="Calibri"/>
            <w:color w:val="2E74B5"/>
            <w:u w:val="single"/>
            <w:sz w:val="17"/>
            <w:szCs w:val="17"/>
          </w:rPr>
          <w:t>NFL Football Operations, 2026 Important NFL Dates</w:t>
        </w:r>
      </w:hyperlink>
    </w:p>
    <w:p>
      <w:pPr>
        <w:spacing w:after="60" w:line="240" w:lineRule="auto"/>
        <w:ind w:left="317"/>
        <w:keepLines/>
      </w:pPr>
      <w:hyperlink r:id="rId15">
        <w:r>
          <w:rPr>
            <w:rFonts w:ascii="Calibri" w:hAnsi="Calibri"/>
            <w:color w:val="2E74B5"/>
            <w:u w:val="single"/>
            <w:sz w:val="17"/>
            <w:szCs w:val="17"/>
          </w:rPr>
          <w:t>NCAA, Division I Cabinet adopts changes to eligibility rules for prospects</w:t>
        </w:r>
      </w:hyperlink>
    </w:p>
    <w:p>
      <w:pPr>
        <w:spacing w:after="60" w:line="240" w:lineRule="auto"/>
        <w:ind w:left="317"/>
        <w:keepLines/>
      </w:pPr>
      <w:hyperlink r:id="rId16">
        <w:r>
          <w:rPr>
            <w:rFonts w:ascii="Calibri" w:hAnsi="Calibri"/>
            <w:color w:val="2E74B5"/>
            <w:u w:val="single"/>
            <w:sz w:val="17"/>
            <w:szCs w:val="17"/>
          </w:rPr>
          <w:t>NCAA, Agent Certification</w:t>
        </w:r>
      </w:hyperlink>
    </w:p>
    <w:p>
      <w:pPr>
        <w:spacing w:after="60" w:line="240" w:lineRule="auto"/>
        <w:ind w:left="317"/>
        <w:keepLines/>
      </w:pPr>
      <w:hyperlink r:id="rId17">
        <w:r>
          <w:rPr>
            <w:rFonts w:ascii="Calibri" w:hAnsi="Calibri"/>
            <w:color w:val="2E74B5"/>
            <w:u w:val="single"/>
            <w:sz w:val="17"/>
            <w:szCs w:val="17"/>
          </w:rPr>
          <w:t>NCAA, Division I adopts age-based eligibility model</w:t>
        </w:r>
      </w:hyperlink>
    </w:p>
    <w:p>
      <w:pPr>
        <w:spacing w:after="60" w:line="240" w:lineRule="auto"/>
        <w:ind w:left="317"/>
        <w:keepLines/>
      </w:pPr>
      <w:hyperlink r:id="rId18">
        <w:r>
          <w:rPr>
            <w:rFonts w:ascii="Calibri" w:hAnsi="Calibri"/>
            <w:color w:val="2E74B5"/>
            <w:u w:val="single"/>
            <w:sz w:val="17"/>
            <w:szCs w:val="17"/>
          </w:rPr>
          <w:t>NCAA, 2026 NFL Education Memorandum</w:t>
        </w:r>
      </w:hyperlink>
    </w:p>
    <w:p>
      <w:pPr>
        <w:spacing w:after="60" w:line="240" w:lineRule="auto"/>
        <w:ind w:left="317"/>
        <w:keepLines/>
      </w:pPr>
      <w:hyperlink r:id="rId19">
        <w:r>
          <w:rPr>
            <w:rFonts w:ascii="Calibri" w:hAnsi="Calibri"/>
            <w:color w:val="2E74B5"/>
            <w:u w:val="single"/>
            <w:sz w:val="17"/>
            <w:szCs w:val="17"/>
          </w:rPr>
          <w:t>NCAA, Probability of Competing Beyond High School</w:t>
        </w:r>
      </w:hyperlink>
    </w:p>
    <w:p>
      <w:pPr>
        <w:spacing w:after="60" w:line="240" w:lineRule="auto"/>
        <w:ind w:left="317"/>
        <w:keepLines/>
      </w:pPr>
      <w:hyperlink r:id="rId20">
        <w:r>
          <w:rPr>
            <w:rFonts w:ascii="Calibri" w:hAnsi="Calibri"/>
            <w:color w:val="2E74B5"/>
            <w:u w:val="single"/>
            <w:sz w:val="17"/>
            <w:szCs w:val="17"/>
          </w:rPr>
          <w:t>NFL Football Operations, College Advisory Committee Head Coach Guide</w:t>
        </w:r>
      </w:hyperlink>
    </w:p>
    <w:p>
      <w:pPr>
        <w:spacing w:before="200" w:after="0"/>
      </w:pPr>
      <w:r>
        <w:rPr>
          <w:rFonts w:ascii="Calibri" w:hAnsi="Calibri"/>
          <w:b w:val="0"/>
          <w:i/>
          <w:color w:val="5D6672"/>
          <w:sz w:val="17"/>
        </w:rPr>
        <w:t>End of compact.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672"/>
        <w:sz w:val="18"/>
      </w:rPr>
      <w:t xml:space="preserve">INTEGRATED FBS REFORM · </w:t>
    </w:r>
    <w:r>
      <w:rPr>
        <w:rFonts w:ascii="Calibri" w:hAnsi="Calibri"/>
        <w:color w:val="5D6672"/>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5D6672"/>
        <w:sz w:val="17"/>
      </w:rPr>
      <w:t>COLLEGE FOOTBALL–NFL COORDINATION COMPACT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pPr>
        <w:tabs>
          <w:tab w:val="num" w:pos="720"/>
        </w:tabs>
        <w:ind w:left="720" w:hanging="360"/>
        <w:spacing w:after="160" w:line="280" w:lineRule="auto"/>
      </w:pPr>
    </w:lvl>
  </w:abstractNum>
  <w:num w:numId="10">
    <w:abstractNumId w:val="9"/>
  </w:num>
  <w:abstractNum w:abstractNumId="10">
    <w:multiLevelType w:val="singleLevel"/>
    <w:lvl w:ilvl="0">
      <w:start w:val="1"/>
      <w:numFmt w:val="decimal"/>
      <w:lvlText w:val="%1."/>
      <w:pPr>
        <w:tabs>
          <w:tab w:val="num" w:pos="720"/>
        </w:tabs>
        <w:ind w:left="720" w:hanging="360"/>
        <w:spacing w:after="160" w:line="28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b w:val="0"/>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before="0" w:after="200" w:line="288" w:lineRule="auto"/>
    </w:pPr>
    <w:rPr>
      <w:rFonts w:ascii="Calibri" w:hAnsi="Calibri"/>
      <w:b w:val="0"/>
      <w:color w:val="0B2545"/>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ollegefootballplayoff.com/sports/2019/4/3/governance.aspx" TargetMode="External"/><Relationship Id="rId12" Type="http://schemas.openxmlformats.org/officeDocument/2006/relationships/hyperlink" Target="https://collegefootballplayoff.com/news/2025/1/24/vegas-27.aspx" TargetMode="External"/><Relationship Id="rId13" Type="http://schemas.openxmlformats.org/officeDocument/2006/relationships/hyperlink" Target="https://operations.nfl.com/calendar-events/nfl-important-dates" TargetMode="External"/><Relationship Id="rId14" Type="http://schemas.openxmlformats.org/officeDocument/2006/relationships/hyperlink" Target="https://operations.nfl.com/gameday/nfl-schedule/2026-important-nfl-dates/" TargetMode="External"/><Relationship Id="rId15" Type="http://schemas.openxmlformats.org/officeDocument/2006/relationships/hyperlink" Target="https://www.ncaa.org/media-center-di-cabinet-adopts-changes-to-eligibility-rules-for-prospects/" TargetMode="External"/><Relationship Id="rId16" Type="http://schemas.openxmlformats.org/officeDocument/2006/relationships/hyperlink" Target="https://www.ncaa.org/division-i/governance/membership-and-institutional-resources/agent-certification/" TargetMode="External"/><Relationship Id="rId17" Type="http://schemas.openxmlformats.org/officeDocument/2006/relationships/hyperlink" Target="https://www.ncaa.org/division-i-adopts-age-based-eligibility-model/" TargetMode="External"/><Relationship Id="rId18" Type="http://schemas.openxmlformats.org/officeDocument/2006/relationships/hyperlink" Target="https://ncaaorg.s3.amazonaws.com/enforcement/2026ENF_NFLEducationMemo.pdf" TargetMode="External"/><Relationship Id="rId19" Type="http://schemas.openxmlformats.org/officeDocument/2006/relationships/hyperlink" Target="https://www.ncaa.org/student-athletes/probability-of-competing-beyond-high-school/" TargetMode="External"/><Relationship Id="rId20" Type="http://schemas.openxmlformats.org/officeDocument/2006/relationships/hyperlink" Target="https://operations.nfl.com/media/t4vppamn/2022-23-cac-head-coach-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FBS Reform College Football–NFL Coordination Compact</dc:title>
  <dc:subject>Calendar cooperation, professional transition, athlete data, and reciprocal development</dc:subject>
  <dc:creator>Alec Levine</dc:creator>
  <cp:keywords/>
  <dc:description>Reviewed against the Better College Football website on August 29, 2026. The website is the current primary version; this file is an offline backup reference.</dc:description>
  <cp:lastModifiedBy>Alec Levine</cp:lastModifiedBy>
  <cp:revision>20260829</cp:revision>
  <dcterms:created xsi:type="dcterms:W3CDTF">2013-12-23T23:15:00Z</dcterms:created>
  <dcterms:modified xsi:type="dcterms:W3CDTF">2026-08-29T12:00:00Z</dcterms:modified>
  <cp:category/>
</cp:coreProperties>
</file>