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</w:pPr>
      <w:r>
        <w:rPr>
          <w:rFonts w:ascii="Calibri" w:hAnsi="Calibri"/>
          <w:b/>
          <w:i w:val="0"/>
          <w:color w:val="5D6672"/>
          <w:sz w:val="20"/>
        </w:rPr>
        <w:t>COMPANION POLICY BRIEF</w:t>
      </w:r>
    </w:p>
    <w:p>
      <w:pPr>
        <w:spacing w:before="0" w:after="120"/>
        <w:keepNext/>
        <w:keepLines/>
      </w:pPr>
      <w:r>
        <w:rPr>
          <w:rFonts w:ascii="Calibri" w:hAnsi="Calibri"/>
          <w:b/>
          <w:i w:val="0"/>
          <w:color w:val="0B2545"/>
          <w:sz w:val="48"/>
        </w:rPr>
        <w:t>COLLEGE FOOTBALL–NFL COORDINATION</w:t>
      </w:r>
    </w:p>
    <w:p>
      <w:pPr>
        <w:spacing w:before="0" w:after="320"/>
        <w:keepNext/>
        <w:keepLines/>
      </w:pPr>
      <w:r>
        <w:rPr>
          <w:rFonts w:ascii="Calibri" w:hAnsi="Calibri"/>
          <w:b w:val="0"/>
          <w:i w:val="0"/>
          <w:color w:val="1F4D78"/>
          <w:sz w:val="27"/>
        </w:rPr>
        <w:t>Two-page negotiation brief: calendar space, athlete transition, reciprocal investment, and accountable execution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100"/>
        <w:gridCol w:w="3560"/>
        <w:gridCol w:w="2700"/>
      </w:tblGrid>
      <w:tr>
        <w:trPr>
          <w:trHeight w:hRule="auto"/>
          <w:tblHeader/>
          <w:cantSplit/>
          <w:cantSplit/>
        </w:trPr>
        <w:tc>
          <w:tcPr>
            <w:tcW w:type="dxa" w:w="31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Document role</w:t>
            </w:r>
          </w:p>
        </w:tc>
        <w:tc>
          <w:tcPr>
            <w:tcW w:type="dxa" w:w="35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Status</w:t>
            </w:r>
          </w:p>
        </w:tc>
        <w:tc>
          <w:tcPr>
            <w:tcW w:type="dxa" w:w="27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Date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3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Companion to Integrated FBS Competition Reform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Decision brief for authorized stakeholder negotiation; not an executed agreement</w:t>
            </w:r>
          </w:p>
        </w:tc>
        <w:tc>
          <w:tcPr>
            <w:tcW w:type="dxa" w:w="2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August 2026</w:t>
            </w:r>
          </w:p>
        </w:tc>
      </w:tr>
    </w:tbl>
    <w:p>
      <w:pPr>
        <w:spacing w:before="0" w:after="40"/>
      </w:pPr>
    </w:p>
    <w:p>
      <w:pPr>
        <w:spacing w:before="80" w:after="200"/>
      </w:pPr>
      <w:r>
        <w:rPr>
          <w:rFonts w:ascii="Calibri" w:hAnsi="Calibri"/>
          <w:b w:val="0"/>
          <w:i/>
          <w:color w:val="5D6672"/>
          <w:sz w:val="17"/>
        </w:rPr>
        <w:t>Written by Alec Levine. Developed with AI-assisted research, drafting, editing, modeling, and document production. The policy positions, judgments, and responsibility for this framework are Alec Levine’s.</w:t>
      </w:r>
    </w:p>
    <w:p>
      <w:pPr>
        <w:spacing w:before="120" w:after="200" w:line="288" w:lineRule="auto"/>
        <w:ind w:left="259" w:right="115"/>
        <w:shd w:fill="E8EEF5"/>
        <w:pBdr>
          <w:left w:val="single" w:sz="18" w:space="6" w:color="1F4D78"/>
        </w:pBdr>
        <w:keepLines/>
      </w:pPr>
      <w:r>
        <w:rPr>
          <w:rFonts w:ascii="Calibri" w:hAnsi="Calibri"/>
          <w:b/>
          <w:color w:val="1F4D78"/>
          <w:sz w:val="20"/>
        </w:rPr>
        <w:t xml:space="preserve">THE ASK  </w:t>
      </w:r>
      <w:r>
        <w:rPr>
          <w:rFonts w:ascii="Calibri" w:hAnsi="Calibri"/>
          <w:color w:val="0B2545"/>
          <w:sz w:val="21"/>
        </w:rPr>
        <w:t>Authorize a 180-day joint negotiation among CFP management, the NCAA, FBS conferences and independents, the NFL, the NFLPA, and athlete representatives. Deliver one three-year calendar memorandum and one uniform professional-transition protocol.</w:t>
      </w:r>
    </w:p>
    <w:p>
      <w:pPr>
        <w:pStyle w:val="Heading1"/>
        <w:keepNext/>
        <w:keepLines/>
      </w:pPr>
      <w:r>
        <w:t>1. Bargaining 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50"/>
        <w:gridCol w:w="3600"/>
        <w:gridCol w:w="4010"/>
      </w:tblGrid>
      <w:tr>
        <w:trPr>
          <w:trHeight w:hRule="auto"/>
          <w:tblHeader/>
          <w:cantSplit/>
          <w:cantSplit/>
        </w:trPr>
        <w:tc>
          <w:tcPr>
            <w:tcW w:type="dxa" w:w="175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Priority</w:t>
            </w:r>
          </w:p>
        </w:tc>
        <w:tc>
          <w:tcPr>
            <w:tcW w:type="dxa" w:w="36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Proposed term</w:t>
            </w:r>
          </w:p>
        </w:tc>
        <w:tc>
          <w:tcPr>
            <w:tcW w:type="dxa" w:w="401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Why the other side can accept it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Protected championship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Saturday at approximately 7:30 p.m. ET during Wild Card Weekend in the first feasible negotiated cycle</w:t>
            </w:r>
          </w:p>
        </w:tc>
        <w:tc>
          <w:tcPr>
            <w:tcW w:type="dxa" w:w="40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NFL keeps earlier Saturday inventory plus Sunday and Monday; the packages create an audience handoff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Annual joint calendar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Publish by May 1; explain material later changes within 14 days</w:t>
            </w:r>
          </w:p>
        </w:tc>
        <w:tc>
          <w:tcPr>
            <w:tcW w:type="dxa" w:w="40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Earlier certainty improves media, venue, club, campus, travel, and athlete planning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One Clean Doorway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Exploration and evaluation remain reversible through one withdrawal deadline; objective professional commitment is final</w:t>
            </w:r>
          </w:p>
        </w:tc>
        <w:tc>
          <w:tcPr>
            <w:tcW w:type="dxa" w:w="40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Better information for players and reliable roster finality for both systems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Reciprocal investment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Joint funding for insurance education, degree completion, transition services, privacy, and health research</w:t>
            </w:r>
          </w:p>
        </w:tc>
        <w:tc>
          <w:tcPr>
            <w:tcW w:type="dxa" w:w="40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Recognizes the shared value and risk of the development pathway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2. Calendar scenarios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00"/>
        <w:gridCol w:w="3600"/>
        <w:gridCol w:w="4260"/>
      </w:tblGrid>
      <w:tr>
        <w:trPr>
          <w:trHeight w:hRule="auto"/>
          <w:tblHeader/>
          <w:cantSplit/>
          <w:cantSplit/>
        </w:trPr>
        <w:tc>
          <w:tcPr>
            <w:tcW w:type="dxa" w:w="15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6"/>
              </w:rPr>
              <w:t>Position</w:t>
            </w:r>
          </w:p>
        </w:tc>
        <w:tc>
          <w:tcPr>
            <w:tcW w:type="dxa" w:w="36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6"/>
              </w:rPr>
              <w:t>College window</w:t>
            </w:r>
          </w:p>
        </w:tc>
        <w:tc>
          <w:tcPr>
            <w:tcW w:type="dxa" w:w="42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6"/>
              </w:rPr>
              <w:t>NFL accommodation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Preferred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Saturday 7:30 p.m. ET, Wild Card Weekend</w:t>
            </w:r>
          </w:p>
        </w:tc>
        <w:tc>
          <w:tcPr>
            <w:tcW w:type="dxa" w:w="42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One or two earlier Saturday games; Sunday and Monday retained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Alternate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Friday night before Wild Card Weekend</w:t>
            </w:r>
          </w:p>
        </w:tc>
        <w:tc>
          <w:tcPr>
            <w:tcW w:type="dxa" w:w="42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No change to weekend inventory; joint promotion and recovery plan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Fallback</w:t>
            </w:r>
          </w:p>
        </w:tc>
        <w:tc>
          <w:tcPr>
            <w:tcW w:type="dxa" w:w="3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Mutually cleared standalone night after the Wild Card round</w:t>
            </w:r>
          </w:p>
        </w:tc>
        <w:tc>
          <w:tcPr>
            <w:tcW w:type="dxa" w:w="42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6"/>
              </w:rPr>
              <w:t>No direct overlap; public explanation of why the preferred target was unavailable</w:t>
            </w:r>
          </w:p>
        </w:tc>
      </w:tr>
    </w:tbl>
    <w:p>
      <w:pPr>
        <w:spacing w:before="0" w:after="40"/>
      </w:pPr>
    </w:p>
    <w:p>
      <w:pPr>
        <w:spacing w:before="60" w:after="0"/>
      </w:pPr>
      <w:r>
        <w:rPr>
          <w:rFonts w:ascii="Calibri" w:hAnsi="Calibri"/>
          <w:b w:val="0"/>
          <w:i/>
          <w:color w:val="5D6672"/>
          <w:sz w:val="16"/>
        </w:rPr>
        <w:t>Non-negotiables: athlete representation; informed consent for medical and biometric data; no performance-regret return after professional commitment; no promise that the target date is already approved; three-year sunset and public audit.</w:t>
      </w:r>
    </w:p>
    <w:p>
      <w:r>
        <w:br w:type="page"/>
      </w:r>
    </w:p>
    <w:p>
      <w:pPr>
        <w:pStyle w:val="Heading1"/>
        <w:keepNext/>
        <w:keepLines/>
      </w:pPr>
      <w:r>
        <w:t>3. Authority and player-status map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200"/>
        <w:gridCol w:w="3400"/>
        <w:gridCol w:w="3760"/>
      </w:tblGrid>
      <w:tr>
        <w:trPr>
          <w:trHeight w:hRule="auto"/>
          <w:tblHeader/>
          <w:cantSplit/>
          <w:cantSplit/>
        </w:trPr>
        <w:tc>
          <w:tcPr>
            <w:tcW w:type="dxa" w:w="22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Decision</w:t>
            </w:r>
          </w:p>
        </w:tc>
        <w:tc>
          <w:tcPr>
            <w:tcW w:type="dxa" w:w="34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Accountable owner</w:t>
            </w:r>
          </w:p>
        </w:tc>
        <w:tc>
          <w:tcPr>
            <w:tcW w:type="dxa" w:w="37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Required partner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2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CFP title date/site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CFP Board and Management Committee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Conferences/independent, rights holders, host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2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NFL playoff inventory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NFL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NFLPA where bargained rights or conditions apply; networks/clubs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2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College eligibility/agents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NCAA Division I governance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Members, conferences, athletes, legal review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2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Draft/combine transition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NFL and NFLPA within their authority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NCAA/CFP calendar and athlete-rights coordination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2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Audit and renewal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Joint council plus independent auditor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Affirmative approval by every necessary authority</w:t>
            </w:r>
          </w:p>
        </w:tc>
      </w:tr>
    </w:tbl>
    <w:p>
      <w:pPr>
        <w:spacing w:before="0"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00"/>
        <w:gridCol w:w="4300"/>
        <w:gridCol w:w="3560"/>
      </w:tblGrid>
      <w:tr>
        <w:trPr>
          <w:trHeight w:hRule="auto"/>
          <w:tblHeader/>
          <w:cantSplit/>
          <w:cantSplit/>
        </w:trPr>
        <w:tc>
          <w:tcPr>
            <w:tcW w:type="dxa" w:w="15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Athlete stage</w:t>
            </w:r>
          </w:p>
        </w:tc>
        <w:tc>
          <w:tcPr>
            <w:tcW w:type="dxa" w:w="43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Permitted activity</w:t>
            </w:r>
          </w:p>
        </w:tc>
        <w:tc>
          <w:tcPr>
            <w:tcW w:type="dxa" w:w="35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Eligibility result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Explore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Advice, representation, medical/contract information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Preserved with disclosure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Declare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Enter draft pool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Conditional through withdrawal deadline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Evaluate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Authorized all-star/combine/testing/interviews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Conditional; evaluation alone is not commitment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Withdraw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Exit draft by the deadline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Return subject to academic, roster, aid, and participation rules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Commit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Sign contract, accept regular-season roster/practice compensation, or play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Ends permanently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Appeal</w:t>
            </w:r>
          </w:p>
        </w:tc>
        <w:tc>
          <w:tcPr>
            <w:tcW w:type="dxa" w:w="43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Administrative error or extraordinary hardship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Narrow independent review; no performance regret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4. 180-day work plan and pilot scorecard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450"/>
        <w:gridCol w:w="4700"/>
        <w:gridCol w:w="3210"/>
      </w:tblGrid>
      <w:tr>
        <w:trPr>
          <w:trHeight w:hRule="auto"/>
          <w:tblHeader/>
          <w:cantSplit/>
          <w:cantSplit/>
        </w:trPr>
        <w:tc>
          <w:tcPr>
            <w:tcW w:type="dxa" w:w="145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When</w:t>
            </w:r>
          </w:p>
        </w:tc>
        <w:tc>
          <w:tcPr>
            <w:tcW w:type="dxa" w:w="47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Required output</w:t>
            </w:r>
          </w:p>
        </w:tc>
        <w:tc>
          <w:tcPr>
            <w:tcW w:type="dxa" w:w="321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5"/>
              </w:rPr>
              <w:t>Exit test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4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0–30 days</w:t>
            </w:r>
          </w:p>
        </w:tc>
        <w:tc>
          <w:tcPr>
            <w:tcW w:type="dxa" w:w="4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Named principals, decision-rights chart, athlete seats, legal/contract constraints</w:t>
            </w:r>
          </w:p>
        </w:tc>
        <w:tc>
          <w:tcPr>
            <w:tcW w:type="dxa" w:w="32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Every decision has an accountable owner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4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31–90 days</w:t>
            </w:r>
          </w:p>
        </w:tc>
        <w:tc>
          <w:tcPr>
            <w:tcW w:type="dxa" w:w="4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Six calendar simulations; finalist transition audit; rights and labor crosswalk</w:t>
            </w:r>
          </w:p>
        </w:tc>
        <w:tc>
          <w:tcPr>
            <w:tcW w:type="dxa" w:w="32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Preferred, alternate, and fallback windows priced and operable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4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91–180 days</w:t>
            </w:r>
          </w:p>
        </w:tc>
        <w:tc>
          <w:tcPr>
            <w:tcW w:type="dxa" w:w="4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Draft calendar memorandum, player-status protocol, pilot operations manual</w:t>
            </w:r>
          </w:p>
        </w:tc>
        <w:tc>
          <w:tcPr>
            <w:tcW w:type="dxa" w:w="32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Authorized parties can approve or return a written issue list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4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One-season pilot</w:t>
            </w:r>
          </w:p>
        </w:tc>
        <w:tc>
          <w:tcPr>
            <w:tcW w:type="dxa" w:w="4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Nonbinding calendar coordination and player information portal</w:t>
            </w:r>
          </w:p>
        </w:tc>
        <w:tc>
          <w:tcPr>
            <w:tcW w:type="dxa" w:w="32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5"/>
              </w:rPr>
              <w:t>May 1 publication; zero conflicting deadlines; consent logs; public overlap report</w:t>
            </w:r>
          </w:p>
        </w:tc>
      </w:tr>
    </w:tbl>
    <w:p>
      <w:pPr>
        <w:spacing w:before="0" w:after="40"/>
      </w:pPr>
    </w:p>
    <w:p>
      <w:pPr>
        <w:spacing w:before="60" w:after="60"/>
      </w:pPr>
      <w:r>
        <w:rPr>
          <w:rFonts w:ascii="Calibri" w:hAnsi="Calibri"/>
          <w:b/>
          <w:i w:val="0"/>
          <w:color w:val="0B2545"/>
          <w:sz w:val="16"/>
        </w:rPr>
        <w:t>Success is measured by reduced avoidable overlap, calendar certainty, protected finalist recovery, one understandable status pathway, documented consent, and a published independent audit—not by whether every party receives its first-choice date.</w:t>
      </w:r>
    </w:p>
    <w:p>
      <w:pPr>
        <w:spacing w:before="0" w:after="0"/>
      </w:pPr>
      <w:r>
        <w:rPr>
          <w:rFonts w:ascii="Calibri" w:hAnsi="Calibri"/>
          <w:b w:val="0"/>
          <w:i/>
          <w:color w:val="5D6672"/>
          <w:sz w:val="15"/>
        </w:rPr>
        <w:t>Sources: CFP Governance; NFL Important Dates; NFLPA CBA term; NCAA Division I eligibility update (April 15, 2026). Full citations and legal qualifications appear in the Coordination Compact.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D6672"/>
        <w:sz w:val="18"/>
      </w:rPr>
      <w:t xml:space="preserve">INTEGRATED FBS REFORM · </w:t>
    </w:r>
    <w:r>
      <w:rPr>
        <w:rFonts w:ascii="Calibri" w:hAnsi="Calibri"/>
        <w:color w:val="5D6672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color w:val="5D6672"/>
        <w:sz w:val="17"/>
      </w:rPr>
      <w:t>COLLEGE FOOTBALL–NFL NEGOTIATION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b w:val="0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0" w:after="200" w:line="288" w:lineRule="auto"/>
    </w:pPr>
    <w:rPr>
      <w:rFonts w:ascii="Calibri" w:hAnsi="Calibri"/>
      <w:b w:val="0"/>
      <w:color w:val="0B2545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FBS Reform College Football–NFL Negotiation Brief</dc:title>
  <dc:subject>Two-page decision brief for calendar, player transition, authority, and pilot negotiation</dc:subject>
  <dc:creator>Alec Levine</dc:creator>
  <cp:keywords/>
  <dc:description>Reviewed against the Better College Football website on August 29, 2026. The website is the current primary version; this file is an offline backup reference.</dc:description>
  <cp:lastModifiedBy>Alec Levine</cp:lastModifiedBy>
  <cp:revision>20260829</cp:revision>
  <dcterms:created xsi:type="dcterms:W3CDTF">2013-12-23T23:15:00Z</dcterms:created>
  <dcterms:modified xsi:type="dcterms:W3CDTF">2026-08-29T12:00:00Z</dcterms:modified>
  <cp:category/>
</cp:coreProperties>
</file>