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</w:pPr>
      <w:r>
        <w:rPr>
          <w:rFonts w:ascii="Calibri" w:hAnsi="Calibri"/>
          <w:b/>
          <w:i w:val="0"/>
          <w:color w:val="5D6672"/>
          <w:sz w:val="20"/>
        </w:rPr>
        <w:t>COMPANION POLICY BRIEF</w:t>
      </w:r>
    </w:p>
    <w:p>
      <w:pPr>
        <w:spacing w:before="0" w:after="120"/>
        <w:keepNext/>
        <w:keepLines/>
      </w:pPr>
      <w:r>
        <w:rPr>
          <w:rFonts w:ascii="Calibri" w:hAnsi="Calibri"/>
          <w:b/>
          <w:i w:val="0"/>
          <w:color w:val="0B2545"/>
          <w:sz w:val="48"/>
        </w:rPr>
        <w:t>COMPETITION VALIDATION AND IMPLEMENTATION BRIEF</w:t>
      </w:r>
    </w:p>
    <w:p>
      <w:pPr>
        <w:spacing w:before="0" w:after="320"/>
        <w:keepNext/>
        <w:keepLines/>
      </w:pPr>
      <w:r>
        <w:rPr>
          <w:rFonts w:ascii="Calibri" w:hAnsi="Calibri"/>
          <w:b w:val="0"/>
          <w:i w:val="0"/>
          <w:color w:val="1F4D78"/>
          <w:sz w:val="27"/>
        </w:rPr>
        <w:t>Historical simulation, ranking validation, athlete-protection standards, legal review, and approval sequencing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100"/>
        <w:gridCol w:w="3560"/>
        <w:gridCol w:w="2700"/>
      </w:tblGrid>
      <w:tr>
        <w:trPr>
          <w:trHeight w:hRule="auto"/>
          <w:tblHeader/>
          <w:cantSplit/>
          <w:cantSplit/>
        </w:trPr>
        <w:tc>
          <w:tcPr>
            <w:tcW w:type="dxa" w:w="31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Document role</w:t>
            </w:r>
          </w:p>
        </w:tc>
        <w:tc>
          <w:tcPr>
            <w:tcW w:type="dxa" w:w="35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Status</w:t>
            </w:r>
          </w:p>
        </w:tc>
        <w:tc>
          <w:tcPr>
            <w:tcW w:type="dxa" w:w="27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Date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3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Companion to Integrated FBS Competition Reform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Initial analytical framework for stakeholder testing</w:t>
            </w:r>
          </w:p>
        </w:tc>
        <w:tc>
          <w:tcPr>
            <w:tcW w:type="dxa" w:w="2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August 2026</w:t>
            </w:r>
          </w:p>
        </w:tc>
      </w:tr>
    </w:tbl>
    <w:p>
      <w:pPr>
        <w:spacing w:before="0" w:after="40"/>
      </w:pPr>
    </w:p>
    <w:p>
      <w:pPr>
        <w:spacing w:before="80" w:after="200"/>
      </w:pPr>
      <w:r>
        <w:rPr>
          <w:rFonts w:ascii="Calibri" w:hAnsi="Calibri"/>
          <w:b w:val="0"/>
          <w:i/>
          <w:color w:val="5D6672"/>
          <w:sz w:val="17"/>
        </w:rPr>
        <w:t>Written by Alec Levine. Developed with AI-assisted research, drafting, editing, modeling, and document production. The policy positions, judgments, and responsibility for this framework are Alec Levine’s.</w:t>
      </w:r>
    </w:p>
    <w:p>
      <w:pPr>
        <w:pStyle w:val="Lead"/>
        <w:spacing w:before="0"/>
      </w:pPr>
      <w:r>
        <w:rPr>
          <w:rFonts w:ascii="Calibri" w:hAnsi="Calibri"/>
          <w:b w:val="0"/>
          <w:i w:val="0"/>
        </w:rPr>
        <w:t>This brief converts the proposal’s open implementation questions into defined tests, decision gates, owners, and work products. It does not move unsettled technical analysis into the core competition proposal.</w:t>
      </w:r>
    </w:p>
    <w:p>
      <w:pPr>
        <w:spacing w:before="120" w:after="200" w:line="288" w:lineRule="auto"/>
        <w:ind w:left="259" w:right="115"/>
        <w:shd w:fill="E8EEF5"/>
        <w:pBdr>
          <w:left w:val="single" w:sz="18" w:space="6" w:color="2E74B5"/>
        </w:pBdr>
        <w:keepLines/>
      </w:pPr>
      <w:r>
        <w:rPr>
          <w:rFonts w:ascii="Calibri" w:hAnsi="Calibri"/>
          <w:b/>
          <w:color w:val="2E74B5"/>
          <w:sz w:val="20"/>
        </w:rPr>
        <w:t xml:space="preserve">RECOMMENDATION  </w:t>
      </w:r>
      <w:r>
        <w:rPr>
          <w:rFonts w:ascii="Calibri" w:hAnsi="Calibri"/>
          <w:color w:val="0B2545"/>
          <w:sz w:val="21"/>
        </w:rPr>
        <w:t>Run competition, calendar, welfare, legal, and governance workstreams in parallel, but do not authorize launch until every mandatory gate has an accountable owner, a published result, and an approved mitigation.</w:t>
      </w:r>
    </w:p>
    <w:p>
      <w:pPr>
        <w:pStyle w:val="Heading1"/>
        <w:keepNext/>
        <w:keepLines/>
      </w:pPr>
      <w:r>
        <w:t>1. Scope and decision discipline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680"/>
        <w:gridCol w:w="4680"/>
      </w:tblGrid>
      <w:tr>
        <w:trPr>
          <w:trHeight w:hRule="auto"/>
          <w:tblHeader/>
          <w:cantSplit/>
          <w:cantSplit/>
        </w:trPr>
        <w:tc>
          <w:tcPr>
            <w:tcW w:type="dxa" w:w="468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Main proposal controls</w:t>
            </w:r>
          </w:p>
        </w:tc>
        <w:tc>
          <w:tcPr>
            <w:tcW w:type="dxa" w:w="468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Companion analysis controls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468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Competition architecture, access principles, event hierarchy, and recommended policy</w:t>
            </w:r>
          </w:p>
        </w:tc>
        <w:tc>
          <w:tcPr>
            <w:tcW w:type="dxa" w:w="468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Evidence, assumptions, sensitivities, implementation choices, and unresolved risks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468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Durable Power Four designation and complete National Tournament rules</w:t>
            </w:r>
          </w:p>
        </w:tc>
        <w:tc>
          <w:tcPr>
            <w:tcW w:type="dxa" w:w="468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Historical simulation, dates, workload limits, ranking validation, legal feasibility, and approval instruments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468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CFP priority and no mid-postseason transfer</w:t>
            </w:r>
          </w:p>
        </w:tc>
        <w:tc>
          <w:tcPr>
            <w:tcW w:type="dxa" w:w="468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Economic protection and recognition for qualifying institutions outside the Power Four</w:t>
            </w:r>
          </w:p>
        </w:tc>
      </w:tr>
    </w:tbl>
    <w:p>
      <w:pPr>
        <w:spacing w:before="0" w:after="40"/>
      </w:pPr>
    </w:p>
    <w:p>
      <w:pPr>
        <w:spacing w:before="0"/>
      </w:pPr>
      <w:r>
        <w:rPr>
          <w:rFonts w:ascii="Calibri" w:hAnsi="Calibri"/>
          <w:b w:val="0"/>
          <w:i w:val="0"/>
        </w:rPr>
        <w:t>A companion finding changes policy only after the main proposal is formally versioned. This prevents draft assumptions from silently becoming rules.</w:t>
      </w:r>
    </w:p>
    <w:p>
      <w:pPr>
        <w:pStyle w:val="Heading1"/>
        <w:keepNext/>
        <w:keepLines/>
      </w:pPr>
      <w:r>
        <w:t>2. Historical simulation protocol</w:t>
      </w:r>
    </w:p>
    <w:p>
      <w:pPr>
        <w:pStyle w:val="Heading2"/>
        <w:keepNext/>
        <w:keepLines/>
      </w:pPr>
      <w:r>
        <w:t>2.1 Required season-level dataset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Final and post-regular-season CFP ranking for every ranked institution, including record and conference affiliation for that season.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Conference-championship participants, champions, game dates, sites, and results.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Automatic-qualifier category, independent status, postseason selection, seed, host designation, result, and margin.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Opponent-strength or rating input sufficient to compare expected path difficulty across benefit tiers.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Academic-calendar, travel-distance, rest-day, kickoff-window, weather, and campus-availability data for calendar stress testing.</w:t>
      </w:r>
    </w:p>
    <w:p>
      <w:pPr>
        <w:pStyle w:val="Heading2"/>
        <w:keepNext/>
        <w:keepLines/>
      </w:pPr>
      <w:r>
        <w:t>2.2 Required tests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600"/>
        <w:gridCol w:w="3960"/>
        <w:gridCol w:w="3800"/>
      </w:tblGrid>
      <w:tr>
        <w:trPr>
          <w:trHeight w:hRule="auto"/>
          <w:tblHeader/>
          <w:cantSplit/>
          <w:cantSplit/>
        </w:trPr>
        <w:tc>
          <w:tcPr>
            <w:tcW w:type="dxa" w:w="16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Test</w:t>
            </w:r>
          </w:p>
        </w:tc>
        <w:tc>
          <w:tcPr>
            <w:tcW w:type="dxa" w:w="39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Question</w:t>
            </w:r>
          </w:p>
        </w:tc>
        <w:tc>
          <w:tcPr>
            <w:tcW w:type="dxa" w:w="38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Mandatory output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Capacity</w:t>
            </w:r>
          </w:p>
        </w:tc>
        <w:tc>
          <w:tcPr>
            <w:tcW w:type="dxa" w:w="39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Do protection and champion claims ever exceed two double byes or eight single byes?</w:t>
            </w:r>
          </w:p>
        </w:tc>
        <w:tc>
          <w:tcPr>
            <w:tcW w:type="dxa" w:w="3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Frequency, affected ranking positions, displaced claimant, and rule used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Monotonic benefit</w:t>
            </w:r>
          </w:p>
        </w:tc>
        <w:tc>
          <w:tcPr>
            <w:tcW w:type="dxa" w:w="39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Does any lower benefit band receive an easier expected path than the band above it?</w:t>
            </w:r>
          </w:p>
        </w:tc>
        <w:tc>
          <w:tcPr>
            <w:tcW w:type="dxa" w:w="3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Path-strength distribution by entry tier and seed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Access</w:t>
            </w:r>
          </w:p>
        </w:tc>
        <w:tc>
          <w:tcPr>
            <w:tcW w:type="dxa" w:w="39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Which institutions enter through automatic access, at-large access, or the National Tournament?</w:t>
            </w:r>
          </w:p>
        </w:tc>
        <w:tc>
          <w:tcPr>
            <w:tcW w:type="dxa" w:w="3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Season-by-season field and first-four-out list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Championship protection</w:t>
            </w:r>
          </w:p>
        </w:tc>
        <w:tc>
          <w:tcPr>
            <w:tcW w:type="dxa" w:w="39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Does playing an additional title game reduce an earned benefit?</w:t>
            </w:r>
          </w:p>
        </w:tc>
        <w:tc>
          <w:tcPr>
            <w:tcW w:type="dxa" w:w="3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Pre-title claim, final position, and counterfactual without protection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National Tournament</w:t>
            </w:r>
          </w:p>
        </w:tc>
        <w:tc>
          <w:tcPr>
            <w:tcW w:type="dxa" w:w="39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Are automatic bids, host guarantees, and replacements internally consistent?</w:t>
            </w:r>
          </w:p>
        </w:tc>
        <w:tc>
          <w:tcPr>
            <w:tcW w:type="dxa" w:w="3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Sixteen-team field, host order, replacement order, and excluded-team explanation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Postseason exclusivity</w:t>
            </w:r>
          </w:p>
        </w:tc>
        <w:tc>
          <w:tcPr>
            <w:tcW w:type="dxa" w:w="39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Would a CFP-to-secondary transfer create rest or bracket inequity?</w:t>
            </w:r>
          </w:p>
        </w:tc>
        <w:tc>
          <w:tcPr>
            <w:tcW w:type="dxa" w:w="3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Rest-day and opponent-path comparison; policy remains no transfer</w:t>
            </w:r>
          </w:p>
        </w:tc>
      </w:tr>
    </w:tbl>
    <w:p>
      <w:pPr>
        <w:spacing w:before="0" w:after="40"/>
      </w:pPr>
    </w:p>
    <w:p>
      <w:pPr>
        <w:pStyle w:val="Heading2"/>
        <w:keepNext/>
        <w:keepLines/>
      </w:pPr>
      <w:r>
        <w:t>2.3 Decision rules for bye conflicts</w:t>
      </w:r>
    </w:p>
    <w:p>
      <w:pPr>
        <w:spacing w:before="0"/>
      </w:pPr>
      <w:r>
        <w:rPr>
          <w:rFonts w:ascii="Calibri" w:hAnsi="Calibri"/>
          <w:b w:val="0"/>
          <w:i w:val="0"/>
        </w:rPr>
        <w:t>The main proposal’s provisional hierarchy should remain the base case: designated conference champions first, protected Nos. 3–10 title-game participants second, and final-ranking order third. Backtesting must compare it with two alternatives: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Strict pre-title order: fill all available protected positions by the post-regular-season ranking, then apply champion guarantees.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Champion-first with displaced-host protection: apply champion byes first; a displaced protected claimant receives the highest opening-round home position.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Final-ranking reset: abandon single-bye protection and fill all remaining positions after title games; this is the control case, not the recommended rule.</w:t>
      </w:r>
    </w:p>
    <w:p>
      <w:pPr>
        <w:spacing w:before="120" w:after="200" w:line="288" w:lineRule="auto"/>
        <w:ind w:left="259" w:right="115"/>
        <w:shd w:fill="F7F0D8"/>
        <w:pBdr>
          <w:left w:val="single" w:sz="18" w:space="6" w:color="7A5A00"/>
        </w:pBdr>
        <w:keepLines/>
      </w:pPr>
      <w:r>
        <w:rPr>
          <w:rFonts w:ascii="Calibri" w:hAnsi="Calibri"/>
          <w:b/>
          <w:color w:val="7A5A00"/>
          <w:sz w:val="20"/>
        </w:rPr>
        <w:t xml:space="preserve">ADOPTION GATE  </w:t>
      </w:r>
      <w:r>
        <w:rPr>
          <w:rFonts w:ascii="Calibri" w:hAnsi="Calibri"/>
          <w:color w:val="0B2545"/>
          <w:sz w:val="21"/>
        </w:rPr>
        <w:t>Select the rule with the lowest conflict frequency and the clearest monotonic benefit structure. A displaced claimant must never fall below the highest opening-round home position solely because fixed bye capacity was exhausted.</w:t>
      </w:r>
    </w:p>
    <w:p>
      <w:pPr>
        <w:pStyle w:val="Heading1"/>
        <w:keepNext/>
        <w:keepLines/>
      </w:pPr>
      <w:r>
        <w:t>3. Ranking methodology validation</w:t>
      </w:r>
    </w:p>
    <w:p>
      <w:pPr>
        <w:pStyle w:val="Heading2"/>
        <w:keepNext/>
        <w:keepLines/>
      </w:pPr>
      <w:r>
        <w:t>3.1 Model separation</w:t>
      </w:r>
    </w:p>
    <w:p>
      <w:pPr>
        <w:spacing w:before="0"/>
      </w:pPr>
      <w:r>
        <w:rPr>
          <w:rFonts w:ascii="Calibri" w:hAnsi="Calibri"/>
          <w:b w:val="0"/>
          <w:i w:val="0"/>
        </w:rPr>
        <w:t>The National Résumé Rating (current public model: v0.48) measures achievement; the Team Strength Rating estimates present quality. They must be trained, validated, published, and audited separately. Selection remains résumé-led.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00"/>
        <w:gridCol w:w="3730"/>
        <w:gridCol w:w="3730"/>
      </w:tblGrid>
      <w:tr>
        <w:trPr>
          <w:trHeight w:hRule="auto"/>
          <w:tblHeader/>
          <w:cantSplit/>
          <w:cantSplit/>
        </w:trPr>
        <w:tc>
          <w:tcPr>
            <w:tcW w:type="dxa" w:w="19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Control</w:t>
            </w:r>
          </w:p>
        </w:tc>
        <w:tc>
          <w:tcPr>
            <w:tcW w:type="dxa" w:w="373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National Résumé Rating</w:t>
            </w:r>
          </w:p>
        </w:tc>
        <w:tc>
          <w:tcPr>
            <w:tcW w:type="dxa" w:w="373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Team Strength Rating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Primary question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What did the institution earn?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How strong is the team now?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Permitted inputs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Results, venue, opponent quality, schedule strength, capped game control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Efficiency, availability, recent performance, predictive indicators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Prohibited shortcut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Preseason ranking or ranked-at-the-time labels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Using prediction alone to erase completed wins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Published validation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Conference bias, network sensitivity, stability, gaming tests</w:t>
            </w:r>
          </w:p>
        </w:tc>
        <w:tc>
          <w:tcPr>
            <w:tcW w:type="dxa" w:w="37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Out-of-sample accuracy, injury sensitivity, calibration</w:t>
            </w:r>
          </w:p>
        </w:tc>
      </w:tr>
    </w:tbl>
    <w:p>
      <w:pPr>
        <w:spacing w:before="0" w:after="40"/>
      </w:pPr>
      <w:r>
        <w:t>Current public evidence comprises twelve time-locked weekly checkpoints across 2024 and 2025. The same 30% Quality-Win Depth, 30% Schedule-Adjusted Record, 20% Loss Integrity, 15% Opponent-Adjusted Performance, and 5% Win Control balance is applied to every team; held-out seasons and the live 2026 run remain adoption gates.</w:t>
      </w:r>
    </w:p>
    <w:p>
      <w:pPr>
        <w:pStyle w:val="Heading2"/>
        <w:keepNext/>
        <w:keepLines/>
      </w:pPr>
      <w:r>
        <w:t>3.2 Governance and appeals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Publish code, data definitions, version history, and an annual independent validation report.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Correct objective data errors through an expedited process; do not allow an appeal merely because an institution dislikes a properly calculated result.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Require a written explanation for a committee placement more than three positions outside the published objective résumé range.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Test outcomes by conference, independent status, schedule network, home/road mix, and late-season availability to identify structural bias.</w:t>
      </w:r>
    </w:p>
    <w:p>
      <w:pPr>
        <w:pStyle w:val="Heading1"/>
        <w:keepNext/>
        <w:keepLines/>
      </w:pPr>
      <w:r>
        <w:t>4. Calendar, workload, and athlete-welfare review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50"/>
        <w:gridCol w:w="3610"/>
        <w:gridCol w:w="3900"/>
      </w:tblGrid>
      <w:tr>
        <w:trPr>
          <w:trHeight w:hRule="auto"/>
          <w:tblHeader/>
          <w:cantSplit/>
          <w:cantSplit/>
        </w:trPr>
        <w:tc>
          <w:tcPr>
            <w:tcW w:type="dxa" w:w="185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Standard</w:t>
            </w:r>
          </w:p>
        </w:tc>
        <w:tc>
          <w:tcPr>
            <w:tcW w:type="dxa" w:w="361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Proposed floor</w:t>
            </w:r>
          </w:p>
        </w:tc>
        <w:tc>
          <w:tcPr>
            <w:tcW w:type="dxa" w:w="39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Evidence required before launch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Recovery</w:t>
            </w:r>
          </w:p>
        </w:tc>
        <w:tc>
          <w:tcPr>
            <w:tcW w:type="dxa" w:w="36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At least seven full days between contests; National Tournament opener at least nine days after title games</w:t>
            </w:r>
          </w:p>
        </w:tc>
        <w:tc>
          <w:tcPr>
            <w:tcW w:type="dxa" w:w="3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Medical and performance review of short-week and travel combinations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Maximum games</w:t>
            </w:r>
          </w:p>
        </w:tc>
        <w:tc>
          <w:tcPr>
            <w:tcW w:type="dxa" w:w="36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path above 18 contests; conference expansion must reduce regular-season exposure</w:t>
            </w:r>
          </w:p>
        </w:tc>
        <w:tc>
          <w:tcPr>
            <w:tcW w:type="dxa" w:w="3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Path-by-path game count and practice exposure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Travel</w:t>
            </w:r>
          </w:p>
        </w:tc>
        <w:tc>
          <w:tcPr>
            <w:tcW w:type="dxa" w:w="36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Charter-equivalent travel standards, recovery day, and funded family assistance</w:t>
            </w:r>
          </w:p>
        </w:tc>
        <w:tc>
          <w:tcPr>
            <w:tcW w:type="dxa" w:w="3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Distance, time-zone, weather, and return-to-campus model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Medical</w:t>
            </w:r>
          </w:p>
        </w:tc>
        <w:tc>
          <w:tcPr>
            <w:tcW w:type="dxa" w:w="36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Independent medical authority, emergency action plan, catastrophic coverage, and adequate host staffing</w:t>
            </w:r>
          </w:p>
        </w:tc>
        <w:tc>
          <w:tcPr>
            <w:tcW w:type="dxa" w:w="3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Site certification and insurance review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Academic</w:t>
            </w:r>
          </w:p>
        </w:tc>
        <w:tc>
          <w:tcPr>
            <w:tcW w:type="dxa" w:w="36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avoidable conflicts with final examinations; tutoring and remote-course access while traveling</w:t>
            </w:r>
          </w:p>
        </w:tc>
        <w:tc>
          <w:tcPr>
            <w:tcW w:type="dxa" w:w="3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Institution-level academic-calendar overlay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Roster stability</w:t>
            </w:r>
          </w:p>
        </w:tc>
        <w:tc>
          <w:tcPr>
            <w:tcW w:type="dxa" w:w="36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general portal, formal signing, or head-coach movement during the championship run</w:t>
            </w:r>
          </w:p>
        </w:tc>
        <w:tc>
          <w:tcPr>
            <w:tcW w:type="dxa" w:w="3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Legal review, exceptions, and emergency process</w:t>
            </w:r>
          </w:p>
        </w:tc>
      </w:tr>
    </w:tbl>
    <w:p>
      <w:pPr>
        <w:spacing w:before="0" w:after="40"/>
      </w:pPr>
    </w:p>
    <w:p>
      <w:pPr>
        <w:spacing w:before="120" w:after="200" w:line="288" w:lineRule="auto"/>
        <w:ind w:left="259" w:right="115"/>
        <w:shd w:fill="FBECEC"/>
        <w:pBdr>
          <w:left w:val="single" w:sz="18" w:space="6" w:color="9B1C1C"/>
        </w:pBdr>
        <w:keepLines/>
      </w:pPr>
      <w:r>
        <w:rPr>
          <w:rFonts w:ascii="Calibri" w:hAnsi="Calibri"/>
          <w:b/>
          <w:color w:val="9B1C1C"/>
          <w:sz w:val="20"/>
        </w:rPr>
        <w:t xml:space="preserve">STOP CONDITION  </w:t>
      </w:r>
      <w:r>
        <w:rPr>
          <w:rFonts w:ascii="Calibri" w:hAnsi="Calibri"/>
          <w:color w:val="0B2545"/>
          <w:sz w:val="21"/>
        </w:rPr>
        <w:t>A calendar configuration fails if it requires less than the approved recovery floor, produces an unmanaged examination conflict, or relies on a host that cannot satisfy medical and operational standards.</w:t>
      </w:r>
    </w:p>
    <w:p>
      <w:pPr>
        <w:pStyle w:val="Heading1"/>
        <w:keepNext/>
        <w:keepLines/>
      </w:pPr>
      <w:r>
        <w:t>5. Legal and labor workstream</w:t>
      </w:r>
    </w:p>
    <w:p>
      <w:pPr>
        <w:spacing w:before="0"/>
      </w:pPr>
      <w:r>
        <w:rPr>
          <w:rFonts w:ascii="Calibri" w:hAnsi="Calibri"/>
          <w:b w:val="0"/>
          <w:i w:val="0"/>
        </w:rPr>
        <w:t>This is an issue-spotting and sequencing framework, not legal advice. Qualified counsel and, where applicable, athlete representatives or collective-bargaining parties must approve the final instruments.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4160"/>
        <w:gridCol w:w="3400"/>
      </w:tblGrid>
      <w:tr>
        <w:trPr>
          <w:trHeight w:hRule="auto"/>
          <w:tblHeader/>
          <w:cantSplit/>
          <w:cantSplit/>
        </w:trPr>
        <w:tc>
          <w:tcPr>
            <w:tcW w:type="dxa" w:w="18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Issue</w:t>
            </w:r>
          </w:p>
        </w:tc>
        <w:tc>
          <w:tcPr>
            <w:tcW w:type="dxa" w:w="41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Question to resolve</w:t>
            </w:r>
          </w:p>
        </w:tc>
        <w:tc>
          <w:tcPr>
            <w:tcW w:type="dxa" w:w="34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Required instrument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Transfer and roster windows</w:t>
            </w:r>
          </w:p>
        </w:tc>
        <w:tc>
          <w:tcPr>
            <w:tcW w:type="dxa" w:w="41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Can common timing and narrow exceptions be implemented without unlawful restraints?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Bylaw, waiver procedure, and negotiated provisions where required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Player agreements</w:t>
            </w:r>
          </w:p>
        </w:tc>
        <w:tc>
          <w:tcPr>
            <w:tcW w:type="dxa" w:w="41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What term, exit, medical, academic, and dispute rights are enforceable?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Model agreement and disclosure standard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Revenue and NIL</w:t>
            </w:r>
          </w:p>
        </w:tc>
        <w:tc>
          <w:tcPr>
            <w:tcW w:type="dxa" w:w="41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How do institutional benefits, third-party NIL, and postseason distributions interact?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Payment policy, NIL framework, audit and tax disclosures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Employment and bargaining</w:t>
            </w:r>
          </w:p>
        </w:tc>
        <w:tc>
          <w:tcPr>
            <w:tcW w:type="dxa" w:w="41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Which rules are mandatory subjects of bargaining or affected by classification?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Labor analysis and bargaining plan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Antitrust</w:t>
            </w:r>
          </w:p>
        </w:tc>
        <w:tc>
          <w:tcPr>
            <w:tcW w:type="dxa" w:w="41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Which joint restraints are necessary, narrowly tailored, and supported by procompetitive evidence?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Competition analysis and evidentiary record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8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State and federal law</w:t>
            </w:r>
          </w:p>
        </w:tc>
        <w:tc>
          <w:tcPr>
            <w:tcW w:type="dxa" w:w="41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Which jurisdictions conflict, preempt, or require special handling?</w:t>
            </w:r>
          </w:p>
        </w:tc>
        <w:tc>
          <w:tcPr>
            <w:tcW w:type="dxa" w:w="34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Fifty-state and federal matrix</w:t>
            </w:r>
          </w:p>
        </w:tc>
      </w:tr>
    </w:tbl>
    <w:p>
      <w:pPr>
        <w:spacing w:before="0" w:after="40"/>
      </w:pPr>
    </w:p>
    <w:p>
      <w:pPr>
        <w:pStyle w:val="Heading1"/>
        <w:keepNext/>
        <w:keepLines/>
      </w:pPr>
      <w:r>
        <w:t>6. Governance, sponsorship, and approval sequence</w:t>
      </w:r>
    </w:p>
    <w:p>
      <w:pPr>
        <w:pStyle w:val="Heading2"/>
        <w:keepNext/>
        <w:keepLines/>
      </w:pPr>
      <w:r>
        <w:t>6.1 Parallel approval tracks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00"/>
        <w:gridCol w:w="3560"/>
        <w:gridCol w:w="4100"/>
      </w:tblGrid>
      <w:tr>
        <w:trPr>
          <w:trHeight w:hRule="auto"/>
          <w:tblHeader/>
          <w:cantSplit/>
          <w:cantSplit/>
        </w:trPr>
        <w:tc>
          <w:tcPr>
            <w:tcW w:type="dxa" w:w="17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Track</w:t>
            </w:r>
          </w:p>
        </w:tc>
        <w:tc>
          <w:tcPr>
            <w:tcW w:type="dxa" w:w="35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Primary parties</w:t>
            </w:r>
          </w:p>
        </w:tc>
        <w:tc>
          <w:tcPr>
            <w:tcW w:type="dxa" w:w="41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Principal subjects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CFP and commercial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CFP governance, conferences, independent institutions, rights holders, bowls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Field, access, bracket, rights, sites, distributions, and event operations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NCAA Division I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FBS Oversight Committee, Division I governance, member conferences and institutions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Playing season, recruiting, roster timing, eligibility, health and safety, and legislation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Institutional and conference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Presidents, athletics directors, faculty representatives, campus counsel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Scheduling, academic calendars, host standards, budgets, and local approvals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Athlete and labor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Current athletes, athlete representatives, counsel, bargaining representatives where applicable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Workload, movement, agreements, compensation, health, and dispute rights</w:t>
            </w:r>
          </w:p>
        </w:tc>
      </w:tr>
    </w:tbl>
    <w:p>
      <w:pPr>
        <w:spacing w:before="0" w:after="40"/>
      </w:pPr>
    </w:p>
    <w:p>
      <w:pPr>
        <w:pStyle w:val="Heading2"/>
        <w:keepNext/>
        <w:keepLines/>
      </w:pPr>
      <w:r>
        <w:t>6.2 Sponsorship package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One-page decision memorandum identifying the requested authorization and matters reserved for negotiation.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Main competition proposal with version number, source appendix, and redline against the current structure.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Historical simulation workbook, methodological memorandum, and independent validation letter.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Calendar and athlete-welfare certification, legal issue memorandum, and financial/media feasibility framework.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Draft bylaw concepts, CFP participation-agreement terms, selection protocol, host standards, and transition schedule.</w:t>
      </w:r>
    </w:p>
    <w:p>
      <w:pPr>
        <w:pStyle w:val="Heading1"/>
        <w:keepNext/>
        <w:keepLines/>
      </w:pPr>
      <w:r>
        <w:t>7. Implementation instruments and staged workplan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50"/>
        <w:gridCol w:w="4240"/>
        <w:gridCol w:w="3570"/>
      </w:tblGrid>
      <w:tr>
        <w:trPr>
          <w:trHeight w:hRule="auto"/>
          <w:tblHeader/>
          <w:cantSplit/>
          <w:cantSplit/>
        </w:trPr>
        <w:tc>
          <w:tcPr>
            <w:tcW w:type="dxa" w:w="155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Stage</w:t>
            </w:r>
          </w:p>
        </w:tc>
        <w:tc>
          <w:tcPr>
            <w:tcW w:type="dxa" w:w="424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Work product</w:t>
            </w:r>
          </w:p>
        </w:tc>
        <w:tc>
          <w:tcPr>
            <w:tcW w:type="dxa" w:w="357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Exit criterion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0 · Sponsor formation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Designate conference, institutional, CFP, NCAA, and athlete representatives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Charter, owners, confidentiality rules, and decision rights approved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1 · Evidence build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Historical model, calendar overlay, welfare review, legal map, financial data request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Data completeness and methods signed off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2 · Policy resolution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Decide bye rule, ranking protocol, dates, roster standards, and revenue principles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unresolved competition-rule contradiction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3 · Instrument drafting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Bylaws, selection and host protocols, commercial terms, model agreements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Counsel and operational review complete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4 · Negotiation and adoption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CFP approvals, NCAA pathway, conference consents, rights negotiations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All required approvals and contractual consents obtained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5 · Parallel-season test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Shadow rankings, mock selections, host audits, media rehearsals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Independent launch-readiness certification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6 · Launch and review</w:t>
            </w:r>
          </w:p>
        </w:tc>
        <w:tc>
          <w:tcPr>
            <w:tcW w:type="dxa" w:w="424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Live operation, incident reporting, annual audit, sunset review</w:t>
            </w:r>
          </w:p>
        </w:tc>
        <w:tc>
          <w:tcPr>
            <w:tcW w:type="dxa" w:w="357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Published first-year report and approved corrections</w:t>
            </w:r>
          </w:p>
        </w:tc>
      </w:tr>
    </w:tbl>
    <w:p>
      <w:pPr>
        <w:spacing w:before="0" w:after="40"/>
      </w:pPr>
    </w:p>
    <w:p>
      <w:pPr>
        <w:pStyle w:val="Heading1"/>
        <w:keepNext/>
        <w:keepLines/>
      </w:pPr>
      <w:r>
        <w:t>8. Sources</w:t>
      </w:r>
    </w:p>
    <w:p>
      <w:pPr>
        <w:spacing w:after="60" w:line="240" w:lineRule="auto"/>
        <w:ind w:left="317"/>
        <w:keepLines/>
      </w:pPr>
      <w:hyperlink r:id="rId11">
        <w:r>
          <w:rPr>
            <w:rFonts w:ascii="Calibri" w:hAnsi="Calibri"/>
            <w:color w:val="2E74B5"/>
            <w:u w:val="single"/>
            <w:sz w:val="17"/>
            <w:szCs w:val="17"/>
          </w:rPr>
          <w:t>NCAA, Division I Football — FBS Oversight Committee role</w:t>
        </w:r>
      </w:hyperlink>
    </w:p>
    <w:p>
      <w:pPr>
        <w:spacing w:after="60" w:line="240" w:lineRule="auto"/>
        <w:ind w:left="317"/>
        <w:keepLines/>
      </w:pPr>
      <w:hyperlink r:id="rId12">
        <w:r>
          <w:rPr>
            <w:rFonts w:ascii="Calibri" w:hAnsi="Calibri"/>
            <w:color w:val="2E74B5"/>
            <w:u w:val="single"/>
            <w:sz w:val="17"/>
            <w:szCs w:val="17"/>
          </w:rPr>
          <w:t>NCAA, Division I Legislation and Policy — legislative pathways</w:t>
        </w:r>
      </w:hyperlink>
    </w:p>
    <w:p>
      <w:pPr>
        <w:spacing w:after="60" w:line="240" w:lineRule="auto"/>
        <w:ind w:left="317"/>
        <w:keepLines/>
      </w:pPr>
      <w:hyperlink r:id="rId13">
        <w:r>
          <w:rPr>
            <w:rFonts w:ascii="Calibri" w:hAnsi="Calibri"/>
            <w:color w:val="2E74B5"/>
            <w:u w:val="single"/>
            <w:sz w:val="17"/>
            <w:szCs w:val="17"/>
          </w:rPr>
          <w:t>College Football Playoff, Selection Committee Protocol and Voting Process</w:t>
        </w:r>
      </w:hyperlink>
    </w:p>
    <w:p>
      <w:pPr>
        <w:spacing w:after="60" w:line="240" w:lineRule="auto"/>
        <w:ind w:left="317"/>
        <w:keepLines/>
      </w:pPr>
      <w:hyperlink r:id="rId14">
        <w:r>
          <w:rPr>
            <w:rFonts w:ascii="Calibri" w:hAnsi="Calibri"/>
            <w:color w:val="2E74B5"/>
            <w:u w:val="single"/>
            <w:sz w:val="17"/>
            <w:szCs w:val="17"/>
          </w:rPr>
          <w:t>College Football Playoff, Week-by-Week Selection Committee Rankings</w:t>
        </w:r>
      </w:hyperlink>
    </w:p>
    <w:p>
      <w:pPr>
        <w:spacing w:before="200" w:after="0"/>
      </w:pPr>
      <w:r>
        <w:rPr>
          <w:rFonts w:ascii="Calibri" w:hAnsi="Calibri"/>
          <w:b w:val="0"/>
          <w:i/>
          <w:color w:val="5D6672"/>
          <w:sz w:val="17"/>
        </w:rPr>
        <w:t>End of brief.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D6672"/>
        <w:sz w:val="18"/>
      </w:rPr>
      <w:t xml:space="preserve">INTEGRATED FBS REFORM · </w:t>
    </w:r>
    <w:r>
      <w:rPr>
        <w:rFonts w:ascii="Calibri" w:hAnsi="Calibri"/>
        <w:color w:val="5D6672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color w:val="5D6672"/>
        <w:sz w:val="17"/>
      </w:rPr>
      <w:t>COMPETITION VALIDATION BRIEF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b w:val="0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before="0" w:after="200" w:line="288" w:lineRule="auto"/>
    </w:pPr>
    <w:rPr>
      <w:rFonts w:ascii="Calibri" w:hAnsi="Calibri"/>
      <w:b w:val="0"/>
      <w:color w:val="0B2545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ncaa.org/championship/division-i/football/" TargetMode="External"/><Relationship Id="rId12" Type="http://schemas.openxmlformats.org/officeDocument/2006/relationships/hyperlink" Target="https://www.ncaa.org/division-i/governance/legislation-and-policy/" TargetMode="External"/><Relationship Id="rId13" Type="http://schemas.openxmlformats.org/officeDocument/2006/relationships/hyperlink" Target="https://collegefootballplayoff.com/sports/2016/10/24/selection-committee-protocol" TargetMode="External"/><Relationship Id="rId14" Type="http://schemas.openxmlformats.org/officeDocument/2006/relationships/hyperlink" Target="https://collegefootballplayoff.com/sports/gene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FBS Reform Competition Validation and Implementation Brief</dc:title>
  <dc:subject>Historical simulation, ranking, calendar, athlete welfare, legal, governance, and sponsorship workplan</dc:subject>
  <dc:creator>Alec Levine</dc:creator>
  <cp:keywords/>
  <dc:description>Reviewed against the Better College Football website on August 29, 2026. The website is the current primary version; this file is an offline backup reference.</dc:description>
  <cp:lastModifiedBy>Alec Levine</cp:lastModifiedBy>
  <cp:revision>20260829</cp:revision>
  <dcterms:created xsi:type="dcterms:W3CDTF">2013-12-23T23:15:00Z</dcterms:created>
  <dcterms:modified xsi:type="dcterms:W3CDTF">2026-08-29T12:00:00Z</dcterms:modified>
  <cp:category/>
</cp:coreProperties>
</file>