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pPr>
      <w:r>
        <w:rPr>
          <w:rFonts w:ascii="Calibri" w:hAnsi="Calibri"/>
          <w:b/>
          <w:i w:val="0"/>
          <w:color w:val="5D6672"/>
          <w:sz w:val="20"/>
        </w:rPr>
        <w:t>COMPANION POLICY BRIEF</w:t>
      </w:r>
    </w:p>
    <w:p>
      <w:pPr>
        <w:spacing w:before="0" w:after="120"/>
        <w:keepNext/>
        <w:keepLines/>
      </w:pPr>
      <w:r>
        <w:rPr>
          <w:rFonts w:ascii="Calibri" w:hAnsi="Calibri"/>
          <w:b/>
          <w:i w:val="0"/>
          <w:color w:val="0B2545"/>
          <w:sz w:val="48"/>
        </w:rPr>
        <w:t>FINANCIAL AND MEDIA FEASIBILITY FRAMEWORK</w:t>
      </w:r>
    </w:p>
    <w:p>
      <w:pPr>
        <w:spacing w:before="0" w:after="320"/>
        <w:keepNext/>
        <w:keepLines/>
      </w:pPr>
      <w:r>
        <w:rPr>
          <w:rFonts w:ascii="Calibri" w:hAnsi="Calibri"/>
          <w:b w:val="0"/>
          <w:i w:val="0"/>
          <w:color w:val="1F4D78"/>
          <w:sz w:val="27"/>
        </w:rPr>
        <w:t>A decision model for rights inventory, event economics, revenue distribution, and negotiation readiness</w:t>
      </w:r>
    </w:p>
    <w:tbl>
      <w:tblPr>
        <w:tblW w:type="dxa" w:w="9360"/>
        <w:jc w:val="left"/>
        <w:tblLayout w:type="fixed"/>
        <w:tblLook w:firstColumn="1" w:firstRow="1" w:lastColumn="0" w:lastRow="0" w:noHBand="0" w:noVBand="1" w:val="04A0"/>
        <w:tblInd w:type="dxa" w:w="120"/>
      </w:tblPr>
      <w:tblGrid>
        <w:gridCol w:w="3100"/>
        <w:gridCol w:w="3560"/>
        <w:gridCol w:w="2700"/>
      </w:tblGrid>
      <w:tr>
        <w:trPr>
          <w:trHeight w:hRule="auto"/>
          <w:tblHeader/>
          <w:cantSplit/>
          <w:cantSplit/>
        </w:trPr>
        <w:tc>
          <w:tcPr>
            <w:tcW w:type="dxa" w:w="31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8"/>
              </w:rPr>
              <w:t>Document role</w:t>
            </w:r>
          </w:p>
        </w:tc>
        <w:tc>
          <w:tcPr>
            <w:tcW w:type="dxa" w:w="356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8"/>
              </w:rPr>
              <w:t>Status</w:t>
            </w:r>
          </w:p>
        </w:tc>
        <w:tc>
          <w:tcPr>
            <w:tcW w:type="dxa" w:w="27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8"/>
              </w:rPr>
              <w:t>Date</w:t>
            </w:r>
          </w:p>
        </w:tc>
      </w:tr>
      <w:tr>
        <w:trPr>
          <w:cantSplit/>
          <w:cantSplit/>
          <w:trHeight w:hRule="auto"/>
        </w:trPr>
        <w:tc>
          <w:tcPr>
            <w:tcW w:type="dxa" w:w="31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8"/>
              </w:rPr>
              <w:t>Companion to Integrated FBS Competition Reform</w:t>
            </w:r>
          </w:p>
        </w:tc>
        <w:tc>
          <w:tcPr>
            <w:tcW w:type="dxa" w:w="35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8"/>
              </w:rPr>
              <w:t>Planning framework; not a valuation or rights forecast</w:t>
            </w:r>
          </w:p>
        </w:tc>
        <w:tc>
          <w:tcPr>
            <w:tcW w:type="dxa" w:w="27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8"/>
              </w:rPr>
              <w:t>August 2026</w:t>
            </w:r>
          </w:p>
        </w:tc>
      </w:tr>
    </w:tbl>
    <w:p>
      <w:pPr>
        <w:spacing w:before="0" w:after="40"/>
      </w:pPr>
    </w:p>
    <w:p>
      <w:pPr>
        <w:spacing w:before="80" w:after="200"/>
      </w:pPr>
      <w:r>
        <w:rPr>
          <w:rFonts w:ascii="Calibri" w:hAnsi="Calibri"/>
          <w:b w:val="0"/>
          <w:i/>
          <w:color w:val="5D6672"/>
          <w:sz w:val="17"/>
        </w:rPr>
        <w:t>Written by Alec Levine. Developed with AI-assisted research, drafting, editing, modeling, and document production. The policy positions, judgments, and responsibility for this framework are Alec Levine’s.</w:t>
      </w:r>
    </w:p>
    <w:p>
      <w:pPr>
        <w:pStyle w:val="Lead"/>
        <w:spacing w:before="0"/>
      </w:pPr>
      <w:r>
        <w:rPr>
          <w:rFonts w:ascii="Calibri" w:hAnsi="Calibri"/>
          <w:b w:val="0"/>
          <w:i w:val="0"/>
        </w:rPr>
        <w:t>This framework defines what must be priced, costed, negotiated, and protected before the competition format can be treated as financially executable. Dollar assumptions belong in the companion workbook and must be replaced with confidential market data before sponsorship.</w:t>
      </w:r>
    </w:p>
    <w:p>
      <w:pPr>
        <w:spacing w:before="120" w:after="200" w:line="288" w:lineRule="auto"/>
        <w:ind w:left="259" w:right="115"/>
        <w:shd w:fill="E8EEF5"/>
        <w:pBdr>
          <w:left w:val="single" w:sz="18" w:space="6" w:color="2E74B5"/>
        </w:pBdr>
        <w:keepLines/>
      </w:pPr>
      <w:r>
        <w:rPr>
          <w:rFonts w:ascii="Calibri" w:hAnsi="Calibri"/>
          <w:b/>
          <w:color w:val="2E74B5"/>
          <w:sz w:val="20"/>
        </w:rPr>
        <w:t xml:space="preserve">FINANCIAL PRINCIPLE  </w:t>
      </w:r>
      <w:r>
        <w:rPr>
          <w:rFonts w:ascii="Calibri" w:hAnsi="Calibri"/>
          <w:color w:val="0B2545"/>
          <w:sz w:val="21"/>
        </w:rPr>
        <w:t>Evaluate the CFP, National Tournament, protected media windows, bowls, and interconference challenge as one portfolio. A format is not feasible merely because gross rights value rises; athlete support, host costs, travel, and displaced obligations must be funded first.</w:t>
      </w:r>
    </w:p>
    <w:p>
      <w:pPr>
        <w:pStyle w:val="Heading1"/>
        <w:keepNext/>
        <w:keepLines/>
      </w:pPr>
      <w:r>
        <w:t>1. Scope, limitations, and decision standard</w:t>
      </w:r>
    </w:p>
    <w:p>
      <w:pPr>
        <w:numPr>
          <w:ilvl w:val="0"/>
          <w:numId w:val="10"/>
        </w:numPr>
        <w:keepLines/>
      </w:pPr>
      <w:r>
        <w:rPr>
          <w:rFonts w:ascii="Calibri" w:hAnsi="Calibri"/>
        </w:rPr>
        <w:t>This document is a model architecture, not a representation of market value, a rights-holder offer, or an accounting opinion.</w:t>
      </w:r>
    </w:p>
    <w:p>
      <w:pPr>
        <w:numPr>
          <w:ilvl w:val="0"/>
          <w:numId w:val="10"/>
        </w:numPr>
        <w:keepLines/>
      </w:pPr>
      <w:r>
        <w:rPr>
          <w:rFonts w:ascii="Calibri" w:hAnsi="Calibri"/>
        </w:rPr>
        <w:t>All commercial values require rights-holder, conference, event-operator, sponsor, and institutional diligence.</w:t>
      </w:r>
    </w:p>
    <w:p>
      <w:pPr>
        <w:numPr>
          <w:ilvl w:val="0"/>
          <w:numId w:val="10"/>
        </w:numPr>
        <w:keepLines/>
      </w:pPr>
      <w:r>
        <w:rPr>
          <w:rFonts w:ascii="Calibri" w:hAnsi="Calibri"/>
        </w:rPr>
        <w:t>The decision metric is sustainable net distributable value after event operations, athlete protections, travel, insurance, and contractual obligations.</w:t>
      </w:r>
    </w:p>
    <w:p>
      <w:pPr>
        <w:numPr>
          <w:ilvl w:val="0"/>
          <w:numId w:val="10"/>
        </w:numPr>
        <w:keepLines/>
      </w:pPr>
      <w:r>
        <w:rPr>
          <w:rFonts w:ascii="Calibri" w:hAnsi="Calibri"/>
        </w:rPr>
        <w:t>A lower-revenue scenario must remain operationally viable; launch cannot depend on the upside case.</w:t>
      </w:r>
    </w:p>
    <w:p>
      <w:pPr>
        <w:pStyle w:val="Heading1"/>
        <w:keepNext/>
        <w:keepLines/>
      </w:pPr>
      <w:r>
        <w:t>2. Media and event inventory</w:t>
      </w:r>
    </w:p>
    <w:tbl>
      <w:tblPr>
        <w:tblW w:type="dxa" w:w="9360"/>
        <w:jc w:val="left"/>
        <w:tblLayout w:type="fixed"/>
        <w:tblLook w:firstColumn="1" w:firstRow="1" w:lastColumn="0" w:lastRow="0" w:noHBand="0" w:noVBand="1" w:val="04A0"/>
        <w:tblInd w:type="dxa" w:w="120"/>
      </w:tblPr>
      <w:tblGrid>
        <w:gridCol w:w="1760"/>
        <w:gridCol w:w="1900"/>
        <w:gridCol w:w="2760"/>
        <w:gridCol w:w="2940"/>
      </w:tblGrid>
      <w:tr>
        <w:trPr>
          <w:trHeight w:hRule="auto"/>
          <w:tblHeader/>
          <w:cantSplit/>
          <w:cantSplit/>
        </w:trPr>
        <w:tc>
          <w:tcPr>
            <w:tcW w:type="dxa" w:w="176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Inventory</w:t>
            </w:r>
          </w:p>
        </w:tc>
        <w:tc>
          <w:tcPr>
            <w:tcW w:type="dxa" w:w="19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Game count / scale</w:t>
            </w:r>
          </w:p>
        </w:tc>
        <w:tc>
          <w:tcPr>
            <w:tcW w:type="dxa" w:w="276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Window strategy</w:t>
            </w:r>
          </w:p>
        </w:tc>
        <w:tc>
          <w:tcPr>
            <w:tcW w:type="dxa" w:w="294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Commercial role</w:t>
            </w:r>
          </w:p>
        </w:tc>
      </w:tr>
      <w:tr>
        <w:trPr>
          <w:cantSplit/>
          <w:cantSplit/>
          <w:trHeight w:hRule="auto"/>
        </w:trPr>
        <w:tc>
          <w:tcPr>
            <w:tcW w:type="dxa" w:w="17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18-team CFP</w:t>
            </w:r>
          </w:p>
        </w:tc>
        <w:tc>
          <w:tcPr>
            <w:tcW w:type="dxa" w:w="1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17 elimination games</w:t>
            </w:r>
          </w:p>
        </w:tc>
        <w:tc>
          <w:tcPr>
            <w:tcW w:type="dxa" w:w="27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Opening round; bowl weekend; campus quarterfinals/semifinals; neutral final</w:t>
            </w:r>
          </w:p>
        </w:tc>
        <w:tc>
          <w:tcPr>
            <w:tcW w:type="dxa" w:w="294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Sole FBS national championship and premium rights anchor</w:t>
            </w:r>
          </w:p>
        </w:tc>
      </w:tr>
      <w:tr>
        <w:trPr>
          <w:cantSplit/>
          <w:cantSplit/>
          <w:trHeight w:hRule="auto"/>
        </w:trPr>
        <w:tc>
          <w:tcPr>
            <w:tcW w:type="dxa" w:w="17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National Tournament</w:t>
            </w:r>
          </w:p>
        </w:tc>
        <w:tc>
          <w:tcPr>
            <w:tcW w:type="dxa" w:w="1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15 elimination games</w:t>
            </w:r>
          </w:p>
        </w:tc>
        <w:tc>
          <w:tcPr>
            <w:tcW w:type="dxa" w:w="27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Protected Tuesday/Wednesday inventory</w:t>
            </w:r>
          </w:p>
        </w:tc>
        <w:tc>
          <w:tcPr>
            <w:tcW w:type="dxa" w:w="294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Distinct postseason title for eligible institutions outside the Power Four</w:t>
            </w:r>
          </w:p>
        </w:tc>
      </w:tr>
      <w:tr>
        <w:trPr>
          <w:cantSplit/>
          <w:cantSplit/>
          <w:trHeight w:hRule="auto"/>
        </w:trPr>
        <w:tc>
          <w:tcPr>
            <w:tcW w:type="dxa" w:w="17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Traditional bowls</w:t>
            </w:r>
          </w:p>
        </w:tc>
        <w:tc>
          <w:tcPr>
            <w:tcW w:type="dxa" w:w="1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Approximately 8–12 games</w:t>
            </w:r>
          </w:p>
        </w:tc>
        <w:tc>
          <w:tcPr>
            <w:tcW w:type="dxa" w:w="27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Nonconflicting destination windows</w:t>
            </w:r>
          </w:p>
        </w:tc>
        <w:tc>
          <w:tcPr>
            <w:tcW w:type="dxa" w:w="294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Voluntary reward trips, tourism, and event-operator continuity</w:t>
            </w:r>
          </w:p>
        </w:tc>
      </w:tr>
      <w:tr>
        <w:trPr>
          <w:cantSplit/>
          <w:cantSplit/>
          <w:trHeight w:hRule="auto"/>
        </w:trPr>
        <w:tc>
          <w:tcPr>
            <w:tcW w:type="dxa" w:w="17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College Football Challenge</w:t>
            </w:r>
          </w:p>
        </w:tc>
        <w:tc>
          <w:tcPr>
            <w:tcW w:type="dxa" w:w="1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Centrally coordinated annual series</w:t>
            </w:r>
          </w:p>
        </w:tc>
        <w:tc>
          <w:tcPr>
            <w:tcW w:type="dxa" w:w="27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Week 0, Week 1, and selected campus windows</w:t>
            </w:r>
          </w:p>
        </w:tc>
        <w:tc>
          <w:tcPr>
            <w:tcW w:type="dxa" w:w="294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Cross-conference evidence, sponsorship, and scheduling value</w:t>
            </w:r>
          </w:p>
        </w:tc>
      </w:tr>
      <w:tr>
        <w:trPr>
          <w:cantSplit/>
          <w:cantSplit/>
          <w:trHeight w:hRule="auto"/>
        </w:trPr>
        <w:tc>
          <w:tcPr>
            <w:tcW w:type="dxa" w:w="17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Ancillary programming</w:t>
            </w:r>
          </w:p>
        </w:tc>
        <w:tc>
          <w:tcPr>
            <w:tcW w:type="dxa" w:w="1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Selection, studio, documentary, digital, and data products</w:t>
            </w:r>
          </w:p>
        </w:tc>
        <w:tc>
          <w:tcPr>
            <w:tcW w:type="dxa" w:w="27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Throughout season and postseason</w:t>
            </w:r>
          </w:p>
        </w:tc>
        <w:tc>
          <w:tcPr>
            <w:tcW w:type="dxa" w:w="294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Audience development and sponsor integration</w:t>
            </w:r>
          </w:p>
        </w:tc>
      </w:tr>
    </w:tbl>
    <w:p>
      <w:pPr>
        <w:spacing w:before="0" w:after="40"/>
      </w:pPr>
    </w:p>
    <w:p>
      <w:pPr>
        <w:pStyle w:val="Heading1"/>
        <w:keepNext/>
        <w:keepLines/>
      </w:pPr>
      <w:r>
        <w:t>3. Revenue architecture</w:t>
      </w:r>
    </w:p>
    <w:tbl>
      <w:tblPr>
        <w:tblW w:type="dxa" w:w="9360"/>
        <w:jc w:val="left"/>
        <w:tblLayout w:type="fixed"/>
        <w:tblLook w:firstColumn="1" w:firstRow="1" w:lastColumn="0" w:lastRow="0" w:noHBand="0" w:noVBand="1" w:val="04A0"/>
        <w:tblInd w:type="dxa" w:w="120"/>
      </w:tblPr>
      <w:tblGrid>
        <w:gridCol w:w="2000"/>
        <w:gridCol w:w="3460"/>
        <w:gridCol w:w="3900"/>
      </w:tblGrid>
      <w:tr>
        <w:trPr>
          <w:trHeight w:hRule="auto"/>
          <w:tblHeader/>
          <w:cantSplit/>
          <w:cantSplit/>
        </w:trPr>
        <w:tc>
          <w:tcPr>
            <w:tcW w:type="dxa" w:w="20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Revenue stream</w:t>
            </w:r>
          </w:p>
        </w:tc>
        <w:tc>
          <w:tcPr>
            <w:tcW w:type="dxa" w:w="346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Driver</w:t>
            </w:r>
          </w:p>
        </w:tc>
        <w:tc>
          <w:tcPr>
            <w:tcW w:type="dxa" w:w="39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Required diligence</w:t>
            </w:r>
          </w:p>
        </w:tc>
      </w:tr>
      <w:tr>
        <w:trPr>
          <w:cantSplit/>
          <w:cantSplit/>
          <w:trHeight w:hRule="auto"/>
        </w:trPr>
        <w:tc>
          <w:tcPr>
            <w:tcW w:type="dxa" w:w="20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Domestic media rights</w:t>
            </w:r>
          </w:p>
        </w:tc>
        <w:tc>
          <w:tcPr>
            <w:tcW w:type="dxa" w:w="34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Exclusive games, windows, reach, audience quality, and term</w:t>
            </w:r>
          </w:p>
        </w:tc>
        <w:tc>
          <w:tcPr>
            <w:tcW w:type="dxa" w:w="3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Comparable inventory, bidder appetite, exclusivity, sublicensing, and production obligations</w:t>
            </w:r>
          </w:p>
        </w:tc>
      </w:tr>
      <w:tr>
        <w:trPr>
          <w:cantSplit/>
          <w:cantSplit/>
          <w:trHeight w:hRule="auto"/>
        </w:trPr>
        <w:tc>
          <w:tcPr>
            <w:tcW w:type="dxa" w:w="20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International and digital</w:t>
            </w:r>
          </w:p>
        </w:tc>
        <w:tc>
          <w:tcPr>
            <w:tcW w:type="dxa" w:w="34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Streaming, clips, archives, data, and global distribution</w:t>
            </w:r>
          </w:p>
        </w:tc>
        <w:tc>
          <w:tcPr>
            <w:tcW w:type="dxa" w:w="3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Territories, platform rights, piracy controls, and localization</w:t>
            </w:r>
          </w:p>
        </w:tc>
      </w:tr>
      <w:tr>
        <w:trPr>
          <w:cantSplit/>
          <w:cantSplit/>
          <w:trHeight w:hRule="auto"/>
        </w:trPr>
        <w:tc>
          <w:tcPr>
            <w:tcW w:type="dxa" w:w="20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Sponsorship</w:t>
            </w:r>
          </w:p>
        </w:tc>
        <w:tc>
          <w:tcPr>
            <w:tcW w:type="dxa" w:w="34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Event naming, presenting partners, categories, and integrated content</w:t>
            </w:r>
          </w:p>
        </w:tc>
        <w:tc>
          <w:tcPr>
            <w:tcW w:type="dxa" w:w="3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Category conflicts, institutional marks, athlete NIL permissions, and activation costs</w:t>
            </w:r>
          </w:p>
        </w:tc>
      </w:tr>
      <w:tr>
        <w:trPr>
          <w:cantSplit/>
          <w:cantSplit/>
          <w:trHeight w:hRule="auto"/>
        </w:trPr>
        <w:tc>
          <w:tcPr>
            <w:tcW w:type="dxa" w:w="20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Ticketing and hospitality</w:t>
            </w:r>
          </w:p>
        </w:tc>
        <w:tc>
          <w:tcPr>
            <w:tcW w:type="dxa" w:w="34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Campus capacity, neutral sites, premium inventory, and fan travel</w:t>
            </w:r>
          </w:p>
        </w:tc>
        <w:tc>
          <w:tcPr>
            <w:tcW w:type="dxa" w:w="3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Pricing, student allotments, visiting allotments, refunds, and weather exposure</w:t>
            </w:r>
          </w:p>
        </w:tc>
      </w:tr>
      <w:tr>
        <w:trPr>
          <w:cantSplit/>
          <w:cantSplit/>
          <w:trHeight w:hRule="auto"/>
        </w:trPr>
        <w:tc>
          <w:tcPr>
            <w:tcW w:type="dxa" w:w="20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Licensing and merchandise</w:t>
            </w:r>
          </w:p>
        </w:tc>
        <w:tc>
          <w:tcPr>
            <w:tcW w:type="dxa" w:w="34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Marks, championship products, and on-site retail</w:t>
            </w:r>
          </w:p>
        </w:tc>
        <w:tc>
          <w:tcPr>
            <w:tcW w:type="dxa" w:w="3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Royalty structure, inventory risk, and athlete group-licensing rights</w:t>
            </w:r>
          </w:p>
        </w:tc>
      </w:tr>
      <w:tr>
        <w:trPr>
          <w:cantSplit/>
          <w:cantSplit/>
          <w:trHeight w:hRule="auto"/>
        </w:trPr>
        <w:tc>
          <w:tcPr>
            <w:tcW w:type="dxa" w:w="20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Data and wagering-related rights</w:t>
            </w:r>
          </w:p>
        </w:tc>
        <w:tc>
          <w:tcPr>
            <w:tcW w:type="dxa" w:w="34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Official data and permitted integrity products</w:t>
            </w:r>
          </w:p>
        </w:tc>
        <w:tc>
          <w:tcPr>
            <w:tcW w:type="dxa" w:w="3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Law, institutional policy, athlete safety, integrity monitoring, and restricted uses</w:t>
            </w:r>
          </w:p>
        </w:tc>
      </w:tr>
    </w:tbl>
    <w:p>
      <w:pPr>
        <w:spacing w:before="0" w:after="40"/>
      </w:pPr>
    </w:p>
    <w:p>
      <w:pPr>
        <w:pStyle w:val="Heading1"/>
        <w:keepNext/>
        <w:keepLines/>
      </w:pPr>
      <w:r>
        <w:t>4. Full cost stack</w:t>
      </w:r>
    </w:p>
    <w:tbl>
      <w:tblPr>
        <w:tblW w:type="dxa" w:w="9360"/>
        <w:jc w:val="left"/>
        <w:tblLayout w:type="fixed"/>
        <w:tblLook w:firstColumn="1" w:firstRow="1" w:lastColumn="0" w:lastRow="0" w:noHBand="0" w:noVBand="1" w:val="04A0"/>
        <w:tblInd w:type="dxa" w:w="120"/>
      </w:tblPr>
      <w:tblGrid>
        <w:gridCol w:w="1900"/>
        <w:gridCol w:w="4560"/>
        <w:gridCol w:w="2900"/>
      </w:tblGrid>
      <w:tr>
        <w:trPr>
          <w:trHeight w:hRule="auto"/>
          <w:tblHeader/>
          <w:cantSplit/>
          <w:cantSplit/>
        </w:trPr>
        <w:tc>
          <w:tcPr>
            <w:tcW w:type="dxa" w:w="19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Cost layer</w:t>
            </w:r>
          </w:p>
        </w:tc>
        <w:tc>
          <w:tcPr>
            <w:tcW w:type="dxa" w:w="456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Included items</w:t>
            </w:r>
          </w:p>
        </w:tc>
        <w:tc>
          <w:tcPr>
            <w:tcW w:type="dxa" w:w="29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Model treatment</w:t>
            </w:r>
          </w:p>
        </w:tc>
      </w:tr>
      <w:tr>
        <w:trPr>
          <w:cantSplit/>
          <w:cantSplit/>
          <w:trHeight w:hRule="auto"/>
        </w:trPr>
        <w:tc>
          <w:tcPr>
            <w:tcW w:type="dxa" w:w="1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Event operations</w:t>
            </w:r>
          </w:p>
        </w:tc>
        <w:tc>
          <w:tcPr>
            <w:tcW w:type="dxa" w:w="45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Venue, production, officials, replay, security, staffing, technology, and weather contingency</w:t>
            </w:r>
          </w:p>
        </w:tc>
        <w:tc>
          <w:tcPr>
            <w:tcW w:type="dxa" w:w="2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Per-game fixed and attendance-sensitive cost</w:t>
            </w:r>
          </w:p>
        </w:tc>
      </w:tr>
      <w:tr>
        <w:trPr>
          <w:cantSplit/>
          <w:cantSplit/>
          <w:trHeight w:hRule="auto"/>
        </w:trPr>
        <w:tc>
          <w:tcPr>
            <w:tcW w:type="dxa" w:w="1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Institution participation</w:t>
            </w:r>
          </w:p>
        </w:tc>
        <w:tc>
          <w:tcPr>
            <w:tcW w:type="dxa" w:w="45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Travel party, lodging, meals, equipment, bands, spirit groups, and administration</w:t>
            </w:r>
          </w:p>
        </w:tc>
        <w:tc>
          <w:tcPr>
            <w:tcW w:type="dxa" w:w="2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Fully reimbursed before discretionary distribution</w:t>
            </w:r>
          </w:p>
        </w:tc>
      </w:tr>
      <w:tr>
        <w:trPr>
          <w:cantSplit/>
          <w:cantSplit/>
          <w:trHeight w:hRule="auto"/>
        </w:trPr>
        <w:tc>
          <w:tcPr>
            <w:tcW w:type="dxa" w:w="1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Athlete protection</w:t>
            </w:r>
          </w:p>
        </w:tc>
        <w:tc>
          <w:tcPr>
            <w:tcW w:type="dxa" w:w="45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Family travel, insurance, medical staffing, recovery, academic support, and permissible compensation</w:t>
            </w:r>
          </w:p>
        </w:tc>
        <w:tc>
          <w:tcPr>
            <w:tcW w:type="dxa" w:w="2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Protected first-priority pool</w:t>
            </w:r>
          </w:p>
        </w:tc>
      </w:tr>
      <w:tr>
        <w:trPr>
          <w:cantSplit/>
          <w:cantSplit/>
          <w:trHeight w:hRule="auto"/>
        </w:trPr>
        <w:tc>
          <w:tcPr>
            <w:tcW w:type="dxa" w:w="1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Commercial obligations</w:t>
            </w:r>
          </w:p>
        </w:tc>
        <w:tc>
          <w:tcPr>
            <w:tcW w:type="dxa" w:w="45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Existing bowl terms, guarantees, rights fees, sponsorship delivery, and production commitments</w:t>
            </w:r>
          </w:p>
        </w:tc>
        <w:tc>
          <w:tcPr>
            <w:tcW w:type="dxa" w:w="2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Contract-by-contract schedule</w:t>
            </w:r>
          </w:p>
        </w:tc>
      </w:tr>
      <w:tr>
        <w:trPr>
          <w:cantSplit/>
          <w:cantSplit/>
          <w:trHeight w:hRule="auto"/>
        </w:trPr>
        <w:tc>
          <w:tcPr>
            <w:tcW w:type="dxa" w:w="1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Governance and compliance</w:t>
            </w:r>
          </w:p>
        </w:tc>
        <w:tc>
          <w:tcPr>
            <w:tcW w:type="dxa" w:w="45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Selection, audit, data, integrity, legal, tax, and dispute resolution</w:t>
            </w:r>
          </w:p>
        </w:tc>
        <w:tc>
          <w:tcPr>
            <w:tcW w:type="dxa" w:w="2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Annual central cost plus event allocation</w:t>
            </w:r>
          </w:p>
        </w:tc>
      </w:tr>
      <w:tr>
        <w:trPr>
          <w:cantSplit/>
          <w:cantSplit/>
          <w:trHeight w:hRule="auto"/>
        </w:trPr>
        <w:tc>
          <w:tcPr>
            <w:tcW w:type="dxa" w:w="1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Contingency</w:t>
            </w:r>
          </w:p>
        </w:tc>
        <w:tc>
          <w:tcPr>
            <w:tcW w:type="dxa" w:w="45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Weather, relocation, cancellation, litigation, and extraordinary travel</w:t>
            </w:r>
          </w:p>
        </w:tc>
        <w:tc>
          <w:tcPr>
            <w:tcW w:type="dxa" w:w="2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Funded reserve based on risk analysis</w:t>
            </w:r>
          </w:p>
        </w:tc>
      </w:tr>
    </w:tbl>
    <w:p>
      <w:pPr>
        <w:spacing w:before="0" w:after="40"/>
      </w:pPr>
    </w:p>
    <w:p>
      <w:pPr>
        <w:pStyle w:val="Heading1"/>
        <w:keepNext/>
        <w:keepLines/>
      </w:pPr>
      <w:r>
        <w:t>5. Recommended revenue waterfall</w:t>
      </w:r>
    </w:p>
    <w:p>
      <w:pPr>
        <w:numPr>
          <w:ilvl w:val="0"/>
          <w:numId w:val="10"/>
        </w:numPr>
        <w:keepLines/>
      </w:pPr>
      <w:r>
        <w:rPr>
          <w:rFonts w:ascii="Calibri" w:hAnsi="Calibri"/>
          <w:b/>
          <w:color w:val="0B2545"/>
        </w:rPr>
        <w:t>1. Gross portfolio receipts:</w:t>
      </w:r>
      <w:r>
        <w:rPr>
          <w:rFonts w:ascii="Calibri" w:hAnsi="Calibri"/>
        </w:rPr>
        <w:t xml:space="preserve"> collect media, sponsorship, ticket, hospitality, licensing, and data receipts.</w:t>
      </w:r>
    </w:p>
    <w:p>
      <w:pPr>
        <w:numPr>
          <w:ilvl w:val="0"/>
          <w:numId w:val="10"/>
        </w:numPr>
        <w:keepLines/>
      </w:pPr>
      <w:r>
        <w:rPr>
          <w:rFonts w:ascii="Calibri" w:hAnsi="Calibri"/>
          <w:b/>
          <w:color w:val="0B2545"/>
        </w:rPr>
        <w:t>2. Taxes, refunds, and direct event costs:</w:t>
      </w:r>
      <w:r>
        <w:rPr>
          <w:rFonts w:ascii="Calibri" w:hAnsi="Calibri"/>
        </w:rPr>
        <w:t xml:space="preserve"> pay unavoidable pass-throughs and event operations.</w:t>
      </w:r>
    </w:p>
    <w:p>
      <w:pPr>
        <w:numPr>
          <w:ilvl w:val="0"/>
          <w:numId w:val="10"/>
        </w:numPr>
        <w:keepLines/>
      </w:pPr>
      <w:r>
        <w:rPr>
          <w:rFonts w:ascii="Calibri" w:hAnsi="Calibri"/>
          <w:b/>
          <w:color w:val="0B2545"/>
        </w:rPr>
        <w:t>3. Athlete and participation protections:</w:t>
      </w:r>
      <w:r>
        <w:rPr>
          <w:rFonts w:ascii="Calibri" w:hAnsi="Calibri"/>
        </w:rPr>
        <w:t xml:space="preserve"> fully fund travel, family assistance, insurance, medical, academic, and agreed player-compensation obligations.</w:t>
      </w:r>
    </w:p>
    <w:p>
      <w:pPr>
        <w:numPr>
          <w:ilvl w:val="0"/>
          <w:numId w:val="10"/>
        </w:numPr>
        <w:keepLines/>
      </w:pPr>
      <w:r>
        <w:rPr>
          <w:rFonts w:ascii="Calibri" w:hAnsi="Calibri"/>
          <w:b/>
          <w:color w:val="0B2545"/>
        </w:rPr>
        <w:t>4. Contractual obligations and reserve:</w:t>
      </w:r>
      <w:r>
        <w:rPr>
          <w:rFonts w:ascii="Calibri" w:hAnsi="Calibri"/>
        </w:rPr>
        <w:t xml:space="preserve"> satisfy existing agreements and capitalize a contingency reserve.</w:t>
      </w:r>
    </w:p>
    <w:p>
      <w:pPr>
        <w:numPr>
          <w:ilvl w:val="0"/>
          <w:numId w:val="10"/>
        </w:numPr>
        <w:keepLines/>
      </w:pPr>
      <w:r>
        <w:rPr>
          <w:rFonts w:ascii="Calibri" w:hAnsi="Calibri"/>
          <w:b/>
          <w:color w:val="0B2545"/>
        </w:rPr>
        <w:t>5. Participant and advancement distributions:</w:t>
      </w:r>
      <w:r>
        <w:rPr>
          <w:rFonts w:ascii="Calibri" w:hAnsi="Calibri"/>
        </w:rPr>
        <w:t xml:space="preserve"> pay transparent event-specific amounts without reducing conference base stability.</w:t>
      </w:r>
    </w:p>
    <w:p>
      <w:pPr>
        <w:numPr>
          <w:ilvl w:val="0"/>
          <w:numId w:val="10"/>
        </w:numPr>
        <w:keepLines/>
      </w:pPr>
      <w:r>
        <w:rPr>
          <w:rFonts w:ascii="Calibri" w:hAnsi="Calibri"/>
          <w:b/>
          <w:color w:val="0B2545"/>
        </w:rPr>
        <w:t>6. Conference and institutional base distributions:</w:t>
      </w:r>
      <w:r>
        <w:rPr>
          <w:rFonts w:ascii="Calibri" w:hAnsi="Calibri"/>
        </w:rPr>
        <w:t xml:space="preserve"> distribute negotiated shares under an audited formula.</w:t>
      </w:r>
    </w:p>
    <w:p>
      <w:pPr>
        <w:numPr>
          <w:ilvl w:val="0"/>
          <w:numId w:val="10"/>
        </w:numPr>
        <w:keepLines/>
      </w:pPr>
      <w:r>
        <w:rPr>
          <w:rFonts w:ascii="Calibri" w:hAnsi="Calibri"/>
          <w:b/>
          <w:color w:val="0B2545"/>
        </w:rPr>
        <w:t>7. Strategic reinvestment:</w:t>
      </w:r>
      <w:r>
        <w:rPr>
          <w:rFonts w:ascii="Calibri" w:hAnsi="Calibri"/>
        </w:rPr>
        <w:t xml:space="preserve"> fund officiating, data, athlete services, and future event development.</w:t>
      </w:r>
    </w:p>
    <w:p>
      <w:pPr>
        <w:spacing w:before="120" w:after="200" w:line="288" w:lineRule="auto"/>
        <w:ind w:left="259" w:right="115"/>
        <w:shd w:fill="F7F0D8"/>
        <w:pBdr>
          <w:left w:val="single" w:sz="18" w:space="6" w:color="7A5A00"/>
        </w:pBdr>
        <w:keepLines/>
      </w:pPr>
      <w:r>
        <w:rPr>
          <w:rFonts w:ascii="Calibri" w:hAnsi="Calibri"/>
          <w:b/>
          <w:color w:val="7A5A00"/>
          <w:sz w:val="20"/>
        </w:rPr>
        <w:t xml:space="preserve">NATIONAL TOURNAMENT FLOOR  </w:t>
      </w:r>
      <w:r>
        <w:rPr>
          <w:rFonts w:ascii="Calibri" w:hAnsi="Calibri"/>
          <w:color w:val="0B2545"/>
          <w:sz w:val="21"/>
        </w:rPr>
        <w:t>Its participant distribution should be set as a defined percentage or indexed amount, not whatever remains after the CFP. A qualifying institution outside the Power Four that enters the CFP must receive at least the National Tournament participant floor in addition to applicable CFP distributions.</w:t>
      </w:r>
    </w:p>
    <w:p>
      <w:pPr>
        <w:pStyle w:val="Heading1"/>
        <w:keepNext/>
        <w:keepLines/>
      </w:pPr>
      <w:r>
        <w:t>6. Scenario and sensitivity model</w:t>
      </w:r>
    </w:p>
    <w:tbl>
      <w:tblPr>
        <w:tblW w:type="dxa" w:w="9360"/>
        <w:jc w:val="left"/>
        <w:tblLayout w:type="fixed"/>
        <w:tblLook w:firstColumn="1" w:firstRow="1" w:lastColumn="0" w:lastRow="0" w:noHBand="0" w:noVBand="1" w:val="04A0"/>
        <w:tblInd w:type="dxa" w:w="120"/>
      </w:tblPr>
      <w:tblGrid>
        <w:gridCol w:w="1650"/>
        <w:gridCol w:w="4410"/>
        <w:gridCol w:w="3300"/>
      </w:tblGrid>
      <w:tr>
        <w:trPr>
          <w:trHeight w:hRule="auto"/>
          <w:tblHeader/>
          <w:cantSplit/>
          <w:cantSplit/>
        </w:trPr>
        <w:tc>
          <w:tcPr>
            <w:tcW w:type="dxa" w:w="165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Scenario</w:t>
            </w:r>
          </w:p>
        </w:tc>
        <w:tc>
          <w:tcPr>
            <w:tcW w:type="dxa" w:w="441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Commercial assumption</w:t>
            </w:r>
          </w:p>
        </w:tc>
        <w:tc>
          <w:tcPr>
            <w:tcW w:type="dxa" w:w="33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Decision use</w:t>
            </w:r>
          </w:p>
        </w:tc>
      </w:tr>
      <w:tr>
        <w:trPr>
          <w:cantSplit/>
          <w:cantSplit/>
          <w:trHeight w:hRule="auto"/>
        </w:trPr>
        <w:tc>
          <w:tcPr>
            <w:tcW w:type="dxa" w:w="165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Downside</w:t>
            </w:r>
          </w:p>
        </w:tc>
        <w:tc>
          <w:tcPr>
            <w:tcW w:type="dxa" w:w="441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Lower incremental rights value, higher travel/production cost, weaker attendance</w:t>
            </w:r>
          </w:p>
        </w:tc>
        <w:tc>
          <w:tcPr>
            <w:tcW w:type="dxa" w:w="33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Must still fund required athlete and event protections without deficit</w:t>
            </w:r>
          </w:p>
        </w:tc>
      </w:tr>
      <w:tr>
        <w:trPr>
          <w:cantSplit/>
          <w:cantSplit/>
          <w:trHeight w:hRule="auto"/>
        </w:trPr>
        <w:tc>
          <w:tcPr>
            <w:tcW w:type="dxa" w:w="165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Base planning</w:t>
            </w:r>
          </w:p>
        </w:tc>
        <w:tc>
          <w:tcPr>
            <w:tcW w:type="dxa" w:w="441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Negotiated central estimate with standard host and audience assumptions</w:t>
            </w:r>
          </w:p>
        </w:tc>
        <w:tc>
          <w:tcPr>
            <w:tcW w:type="dxa" w:w="33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Budget, term-sheet, and distribution design</w:t>
            </w:r>
          </w:p>
        </w:tc>
      </w:tr>
      <w:tr>
        <w:trPr>
          <w:cantSplit/>
          <w:cantSplit/>
          <w:trHeight w:hRule="auto"/>
        </w:trPr>
        <w:tc>
          <w:tcPr>
            <w:tcW w:type="dxa" w:w="165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Upside</w:t>
            </w:r>
          </w:p>
        </w:tc>
        <w:tc>
          <w:tcPr>
            <w:tcW w:type="dxa" w:w="441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Premium window demand, strong audience, sponsorship growth, efficient campus hosting</w:t>
            </w:r>
          </w:p>
        </w:tc>
        <w:tc>
          <w:tcPr>
            <w:tcW w:type="dxa" w:w="33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Reserve policy and sharing of incremental value</w:t>
            </w:r>
          </w:p>
        </w:tc>
      </w:tr>
      <w:tr>
        <w:trPr>
          <w:cantSplit/>
          <w:cantSplit/>
          <w:trHeight w:hRule="auto"/>
        </w:trPr>
        <w:tc>
          <w:tcPr>
            <w:tcW w:type="dxa" w:w="165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Stress cases</w:t>
            </w:r>
          </w:p>
        </w:tc>
        <w:tc>
          <w:tcPr>
            <w:tcW w:type="dxa" w:w="441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Relocation, cancellation, rights dispute, low ticket demand, or cost inflation</w:t>
            </w:r>
          </w:p>
        </w:tc>
        <w:tc>
          <w:tcPr>
            <w:tcW w:type="dxa" w:w="33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Liquidity, insurance, and contingency design</w:t>
            </w:r>
          </w:p>
        </w:tc>
      </w:tr>
    </w:tbl>
    <w:p>
      <w:pPr>
        <w:spacing w:before="0" w:after="40"/>
      </w:pPr>
    </w:p>
    <w:p>
      <w:pPr>
        <w:numPr>
          <w:ilvl w:val="0"/>
          <w:numId w:val="10"/>
        </w:numPr>
        <w:keepLines/>
      </w:pPr>
      <w:r>
        <w:rPr>
          <w:rFonts w:ascii="Calibri" w:hAnsi="Calibri"/>
        </w:rPr>
        <w:t>Rights value by event and window, not only one aggregate package number.</w:t>
      </w:r>
    </w:p>
    <w:p>
      <w:pPr>
        <w:numPr>
          <w:ilvl w:val="0"/>
          <w:numId w:val="10"/>
        </w:numPr>
        <w:keepLines/>
      </w:pPr>
      <w:r>
        <w:rPr>
          <w:rFonts w:ascii="Calibri" w:hAnsi="Calibri"/>
        </w:rPr>
        <w:t>Attendance, average paid yield, student allotment, premium mix, and host-capacity sensitivity.</w:t>
      </w:r>
    </w:p>
    <w:p>
      <w:pPr>
        <w:numPr>
          <w:ilvl w:val="0"/>
          <w:numId w:val="10"/>
        </w:numPr>
        <w:keepLines/>
      </w:pPr>
      <w:r>
        <w:rPr>
          <w:rFonts w:ascii="Calibri" w:hAnsi="Calibri"/>
        </w:rPr>
        <w:t>Travel distance, party size, lodging nights, charter cost, and family-assistance policy.</w:t>
      </w:r>
    </w:p>
    <w:p>
      <w:pPr>
        <w:numPr>
          <w:ilvl w:val="0"/>
          <w:numId w:val="10"/>
        </w:numPr>
        <w:keepLines/>
      </w:pPr>
      <w:r>
        <w:rPr>
          <w:rFonts w:ascii="Calibri" w:hAnsi="Calibri"/>
        </w:rPr>
        <w:t>Participant and advancement distributions, conference-base allocation, player-compensation treatment, and reserve contribution.</w:t>
      </w:r>
    </w:p>
    <w:p>
      <w:pPr>
        <w:numPr>
          <w:ilvl w:val="0"/>
          <w:numId w:val="10"/>
        </w:numPr>
        <w:keepLines/>
      </w:pPr>
      <w:r>
        <w:rPr>
          <w:rFonts w:ascii="Calibri" w:hAnsi="Calibri"/>
        </w:rPr>
        <w:t>Incremental versus displaced bowl value and any termination, amendment, or make-whole obligations.</w:t>
      </w:r>
    </w:p>
    <w:p>
      <w:pPr>
        <w:pStyle w:val="Heading1"/>
        <w:keepNext/>
        <w:keepLines/>
      </w:pPr>
      <w:r>
        <w:t>7. Media architecture and negotiation protections</w:t>
      </w:r>
    </w:p>
    <w:p>
      <w:pPr>
        <w:numPr>
          <w:ilvl w:val="0"/>
          <w:numId w:val="10"/>
        </w:numPr>
        <w:keepLines/>
      </w:pPr>
      <w:r>
        <w:rPr>
          <w:rFonts w:ascii="Calibri" w:hAnsi="Calibri"/>
        </w:rPr>
        <w:t>Protect Tuesday/Wednesday National Tournament inventory from direct CFP conflict and preserve Friday/Saturday for the CFP.</w:t>
      </w:r>
    </w:p>
    <w:p>
      <w:pPr>
        <w:numPr>
          <w:ilvl w:val="0"/>
          <w:numId w:val="10"/>
        </w:numPr>
        <w:keepLines/>
      </w:pPr>
      <w:r>
        <w:rPr>
          <w:rFonts w:ascii="Calibri" w:hAnsi="Calibri"/>
        </w:rPr>
        <w:t>Define exclusivity, sublicensing, streaming, out-of-market, highlights, archive, shoulder programming, international, radio, and official-data rights separately.</w:t>
      </w:r>
    </w:p>
    <w:p>
      <w:pPr>
        <w:numPr>
          <w:ilvl w:val="0"/>
          <w:numId w:val="10"/>
        </w:numPr>
        <w:keepLines/>
      </w:pPr>
      <w:r>
        <w:rPr>
          <w:rFonts w:ascii="Calibri" w:hAnsi="Calibri"/>
        </w:rPr>
        <w:t>Require minimum production standards for campus sites and a cost-sharing rule for upgrades.</w:t>
      </w:r>
    </w:p>
    <w:p>
      <w:pPr>
        <w:numPr>
          <w:ilvl w:val="0"/>
          <w:numId w:val="10"/>
        </w:numPr>
        <w:keepLines/>
      </w:pPr>
      <w:r>
        <w:rPr>
          <w:rFonts w:ascii="Calibri" w:hAnsi="Calibri"/>
        </w:rPr>
        <w:t>Preserve selection independence: no rights holder, sponsor, or event operator participates in team selection or ranking.</w:t>
      </w:r>
    </w:p>
    <w:p>
      <w:pPr>
        <w:numPr>
          <w:ilvl w:val="0"/>
          <w:numId w:val="10"/>
        </w:numPr>
        <w:keepLines/>
      </w:pPr>
      <w:r>
        <w:rPr>
          <w:rFonts w:ascii="Calibri" w:hAnsi="Calibri"/>
        </w:rPr>
        <w:t>Limit schedule flexibility with minimum notice, athlete-rest floors, campus operational constraints, and an emergency relocation protocol.</w:t>
      </w:r>
    </w:p>
    <w:p>
      <w:pPr>
        <w:numPr>
          <w:ilvl w:val="0"/>
          <w:numId w:val="10"/>
        </w:numPr>
        <w:keepLines/>
      </w:pPr>
      <w:r>
        <w:rPr>
          <w:rFonts w:ascii="Calibri" w:hAnsi="Calibri"/>
        </w:rPr>
        <w:t>Separate institutional marks, conference marks, event marks, and athlete NIL permissions; no commercial term grants rights a party does not control.</w:t>
      </w:r>
    </w:p>
    <w:p>
      <w:pPr>
        <w:pStyle w:val="Heading1"/>
        <w:keepNext/>
        <w:keepLines/>
      </w:pPr>
      <w:r>
        <w:t>8. Data request and approval gates</w:t>
      </w:r>
    </w:p>
    <w:tbl>
      <w:tblPr>
        <w:tblW w:type="dxa" w:w="9360"/>
        <w:jc w:val="left"/>
        <w:tblLayout w:type="fixed"/>
        <w:tblLook w:firstColumn="1" w:firstRow="1" w:lastColumn="0" w:lastRow="0" w:noHBand="0" w:noVBand="1" w:val="04A0"/>
        <w:tblInd w:type="dxa" w:w="120"/>
      </w:tblPr>
      <w:tblGrid>
        <w:gridCol w:w="1900"/>
        <w:gridCol w:w="4610"/>
        <w:gridCol w:w="2850"/>
      </w:tblGrid>
      <w:tr>
        <w:trPr>
          <w:trHeight w:hRule="auto"/>
          <w:tblHeader/>
          <w:cantSplit/>
          <w:cantSplit/>
        </w:trPr>
        <w:tc>
          <w:tcPr>
            <w:tcW w:type="dxa" w:w="19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Data owner</w:t>
            </w:r>
          </w:p>
        </w:tc>
        <w:tc>
          <w:tcPr>
            <w:tcW w:type="dxa" w:w="461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Required information</w:t>
            </w:r>
          </w:p>
        </w:tc>
        <w:tc>
          <w:tcPr>
            <w:tcW w:type="dxa" w:w="285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Gate</w:t>
            </w:r>
          </w:p>
        </w:tc>
      </w:tr>
      <w:tr>
        <w:trPr>
          <w:cantSplit/>
          <w:cantSplit/>
          <w:trHeight w:hRule="auto"/>
        </w:trPr>
        <w:tc>
          <w:tcPr>
            <w:tcW w:type="dxa" w:w="1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Rights holders and CFP</w:t>
            </w:r>
          </w:p>
        </w:tc>
        <w:tc>
          <w:tcPr>
            <w:tcW w:type="dxa" w:w="461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Audiences, ad loads, production costs, rights allocations, digital consumption, and contractual restrictions</w:t>
            </w:r>
          </w:p>
        </w:tc>
        <w:tc>
          <w:tcPr>
            <w:tcW w:type="dxa" w:w="285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Independent valuation and bidder strategy</w:t>
            </w:r>
          </w:p>
        </w:tc>
      </w:tr>
      <w:tr>
        <w:trPr>
          <w:cantSplit/>
          <w:cantSplit/>
          <w:trHeight w:hRule="auto"/>
        </w:trPr>
        <w:tc>
          <w:tcPr>
            <w:tcW w:type="dxa" w:w="1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Conferences and institutions</w:t>
            </w:r>
          </w:p>
        </w:tc>
        <w:tc>
          <w:tcPr>
            <w:tcW w:type="dxa" w:w="461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Host costs, ticketing, travel, campus capacity, staffing, academics, and existing obligations</w:t>
            </w:r>
          </w:p>
        </w:tc>
        <w:tc>
          <w:tcPr>
            <w:tcW w:type="dxa" w:w="285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Institutional feasibility and distribution design</w:t>
            </w:r>
          </w:p>
        </w:tc>
      </w:tr>
      <w:tr>
        <w:trPr>
          <w:cantSplit/>
          <w:cantSplit/>
          <w:trHeight w:hRule="auto"/>
        </w:trPr>
        <w:tc>
          <w:tcPr>
            <w:tcW w:type="dxa" w:w="1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Bowls and event operators</w:t>
            </w:r>
          </w:p>
        </w:tc>
        <w:tc>
          <w:tcPr>
            <w:tcW w:type="dxa" w:w="461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Guarantees, hospitality, sponsorship, tourism support, venue terms, and termination rights</w:t>
            </w:r>
          </w:p>
        </w:tc>
        <w:tc>
          <w:tcPr>
            <w:tcW w:type="dxa" w:w="285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Bowl transition and event-operator plan</w:t>
            </w:r>
          </w:p>
        </w:tc>
      </w:tr>
      <w:tr>
        <w:trPr>
          <w:cantSplit/>
          <w:cantSplit/>
          <w:trHeight w:hRule="auto"/>
        </w:trPr>
        <w:tc>
          <w:tcPr>
            <w:tcW w:type="dxa" w:w="1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Athlete representatives</w:t>
            </w:r>
          </w:p>
        </w:tc>
        <w:tc>
          <w:tcPr>
            <w:tcW w:type="dxa" w:w="461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Family travel, workload, medical, insurance, NIL, and compensation priorities</w:t>
            </w:r>
          </w:p>
        </w:tc>
        <w:tc>
          <w:tcPr>
            <w:tcW w:type="dxa" w:w="285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Athlete-protection budget and consent process</w:t>
            </w:r>
          </w:p>
        </w:tc>
      </w:tr>
      <w:tr>
        <w:trPr>
          <w:cantSplit/>
          <w:cantSplit/>
          <w:trHeight w:hRule="auto"/>
        </w:trPr>
        <w:tc>
          <w:tcPr>
            <w:tcW w:type="dxa" w:w="1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Counsel, tax, and accounting</w:t>
            </w:r>
          </w:p>
        </w:tc>
        <w:tc>
          <w:tcPr>
            <w:tcW w:type="dxa" w:w="461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Entity, tax, revenue recognition, unrelated-business, labor, antitrust, and state-law treatment</w:t>
            </w:r>
          </w:p>
        </w:tc>
        <w:tc>
          <w:tcPr>
            <w:tcW w:type="dxa" w:w="285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Legal and financial signoff</w:t>
            </w:r>
          </w:p>
        </w:tc>
      </w:tr>
    </w:tbl>
    <w:p>
      <w:pPr>
        <w:spacing w:before="0" w:after="40"/>
      </w:pPr>
    </w:p>
    <w:p>
      <w:pPr>
        <w:spacing w:before="120" w:after="200" w:line="288" w:lineRule="auto"/>
        <w:ind w:left="259" w:right="115"/>
        <w:shd w:fill="EAF4EE"/>
        <w:pBdr>
          <w:left w:val="single" w:sz="18" w:space="6" w:color="2D6A4F"/>
        </w:pBdr>
        <w:keepLines/>
      </w:pPr>
      <w:r>
        <w:rPr>
          <w:rFonts w:ascii="Calibri" w:hAnsi="Calibri"/>
          <w:b/>
          <w:color w:val="2D6A4F"/>
          <w:sz w:val="20"/>
        </w:rPr>
        <w:t xml:space="preserve">LAUNCH GATE  </w:t>
      </w:r>
      <w:r>
        <w:rPr>
          <w:rFonts w:ascii="Calibri" w:hAnsi="Calibri"/>
          <w:color w:val="0B2545"/>
          <w:sz w:val="21"/>
        </w:rPr>
        <w:t>The downside case must cover direct event operations, athlete and participation protections, contractual obligations, and an approved contingency reserve without relying on speculative sponsorship or attendance upside.</w:t>
      </w:r>
    </w:p>
    <w:p>
      <w:pPr>
        <w:pStyle w:val="Heading1"/>
        <w:keepNext/>
        <w:keepLines/>
      </w:pPr>
      <w:r>
        <w:t>9. Sources</w:t>
      </w:r>
    </w:p>
    <w:p>
      <w:pPr>
        <w:spacing w:after="60" w:line="240" w:lineRule="auto"/>
        <w:ind w:left="317"/>
        <w:keepLines/>
      </w:pPr>
      <w:hyperlink r:id="rId11">
        <w:r>
          <w:rPr>
            <w:rFonts w:ascii="Calibri" w:hAnsi="Calibri"/>
            <w:color w:val="2E74B5"/>
            <w:u w:val="single"/>
            <w:sz w:val="17"/>
            <w:szCs w:val="17"/>
          </w:rPr>
          <w:t>College Football Playoff, CFP Revenue Distribution</w:t>
        </w:r>
      </w:hyperlink>
    </w:p>
    <w:p>
      <w:pPr>
        <w:spacing w:after="60" w:line="240" w:lineRule="auto"/>
        <w:ind w:left="317"/>
        <w:keepLines/>
      </w:pPr>
      <w:hyperlink r:id="rId12">
        <w:r>
          <w:rPr>
            <w:rFonts w:ascii="Calibri" w:hAnsi="Calibri"/>
            <w:color w:val="2E74B5"/>
            <w:u w:val="single"/>
            <w:sz w:val="17"/>
            <w:szCs w:val="17"/>
          </w:rPr>
          <w:t>College Football Playoff, About the Playoff Format</w:t>
        </w:r>
      </w:hyperlink>
    </w:p>
    <w:p>
      <w:pPr>
        <w:spacing w:after="60" w:line="240" w:lineRule="auto"/>
        <w:ind w:left="317"/>
        <w:keepLines/>
      </w:pPr>
      <w:hyperlink r:id="rId13">
        <w:r>
          <w:rPr>
            <w:rFonts w:ascii="Calibri" w:hAnsi="Calibri"/>
            <w:color w:val="2E74B5"/>
            <w:u w:val="single"/>
            <w:sz w:val="17"/>
            <w:szCs w:val="17"/>
          </w:rPr>
          <w:t>NCAA, Name, Image and Likeness</w:t>
        </w:r>
      </w:hyperlink>
    </w:p>
    <w:p>
      <w:pPr>
        <w:spacing w:before="200" w:after="0"/>
      </w:pPr>
      <w:r>
        <w:rPr>
          <w:rFonts w:ascii="Calibri" w:hAnsi="Calibri"/>
          <w:b w:val="0"/>
          <w:i/>
          <w:color w:val="5D6672"/>
          <w:sz w:val="17"/>
        </w:rPr>
        <w:t>End of framework.</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D6672"/>
        <w:sz w:val="18"/>
      </w:rPr>
      <w:t xml:space="preserve">INTEGRATED FBS REFORM · </w:t>
    </w:r>
    <w:r>
      <w:rPr>
        <w:rFonts w:ascii="Calibri" w:hAnsi="Calibri"/>
        <w:color w:val="5D6672"/>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rPr>
        <w:rFonts w:ascii="Calibri" w:hAnsi="Calibri"/>
        <w:b/>
        <w:color w:val="5D6672"/>
        <w:sz w:val="17"/>
      </w:rPr>
      <w:t>FINANCIAL AND MEDIA FRAMEWORK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pPr>
        <w:tabs>
          <w:tab w:val="num" w:pos="720"/>
        </w:tabs>
        <w:ind w:left="720" w:hanging="360"/>
        <w:spacing w:after="160" w:line="280" w:lineRule="auto"/>
      </w:pPr>
    </w:lvl>
  </w:abstractNum>
  <w:num w:numId="10">
    <w:abstractNumId w:val="9"/>
  </w:num>
  <w:abstractNum w:abstractNumId="10">
    <w:multiLevelType w:val="singleLevel"/>
    <w:lvl w:ilvl="0">
      <w:start w:val="1"/>
      <w:numFmt w:val="decimal"/>
      <w:lvlText w:val="%1."/>
      <w:pPr>
        <w:tabs>
          <w:tab w:val="num" w:pos="720"/>
        </w:tabs>
        <w:ind w:left="720" w:hanging="360"/>
        <w:spacing w:after="160" w:line="280" w:lineRule="auto"/>
      </w:p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b w:val="0"/>
      <w:color w:val="22222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pPr>
      <w:spacing w:before="0" w:after="200" w:line="288" w:lineRule="auto"/>
    </w:pPr>
    <w:rPr>
      <w:rFonts w:ascii="Calibri" w:hAnsi="Calibri"/>
      <w:b w:val="0"/>
      <w:color w:val="0B2545"/>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collegefootballplayoff.com/sports/2017/9/20/revenue-distribution.aspx" TargetMode="External"/><Relationship Id="rId12" Type="http://schemas.openxmlformats.org/officeDocument/2006/relationships/hyperlink" Target="https://collegefootballplayoff.com/sports/2024/5/29/12-team-format.aspx" TargetMode="External"/><Relationship Id="rId13" Type="http://schemas.openxmlformats.org/officeDocument/2006/relationships/hyperlink" Target="https://www.ncaa.org/student-athletes/name-image-liken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FBS Reform Financial and Media Feasibility Framework</dc:title>
  <dc:subject>Rights inventory, event economics, revenue distribution, and negotiation readiness</dc:subject>
  <dc:creator>Alec Levine</dc:creator>
  <cp:keywords/>
  <dc:description>Reviewed against the Better College Football website on August 29, 2026. The website is the current primary version; this file is an offline backup reference.</dc:description>
  <cp:lastModifiedBy>Alec Levine</cp:lastModifiedBy>
  <cp:revision>20260829</cp:revision>
  <dcterms:created xsi:type="dcterms:W3CDTF">2013-12-23T23:15:00Z</dcterms:created>
  <dcterms:modified xsi:type="dcterms:W3CDTF">2026-08-29T12:00:00Z</dcterms:modified>
  <cp:category/>
</cp:coreProperties>
</file>