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</w:pPr>
      <w:r>
        <w:rPr>
          <w:rFonts w:ascii="Calibri" w:hAnsi="Calibri"/>
          <w:b/>
          <w:i w:val="0"/>
          <w:color w:val="5D6672"/>
          <w:sz w:val="20"/>
        </w:rPr>
        <w:t>COMPANION POLICY BRIEF</w:t>
      </w:r>
    </w:p>
    <w:p>
      <w:pPr>
        <w:spacing w:before="0" w:after="120"/>
        <w:keepNext/>
        <w:keepLines/>
      </w:pPr>
      <w:r>
        <w:rPr>
          <w:rFonts w:ascii="Calibri" w:hAnsi="Calibri"/>
          <w:b/>
          <w:i w:val="0"/>
          <w:color w:val="0B2545"/>
          <w:sz w:val="48"/>
        </w:rPr>
        <w:t>NIL AND ATHLETE ECONOMIC RIGHTS FRAMEWORK</w:t>
      </w:r>
    </w:p>
    <w:p>
      <w:pPr>
        <w:spacing w:before="0" w:after="320"/>
        <w:keepNext/>
        <w:keepLines/>
      </w:pPr>
      <w:r>
        <w:rPr>
          <w:rFonts w:ascii="Calibri" w:hAnsi="Calibri"/>
          <w:b w:val="0"/>
          <w:i w:val="0"/>
          <w:color w:val="1F4D78"/>
          <w:sz w:val="27"/>
        </w:rPr>
        <w:t>A separate sub-proposal for legitimate NIL activity, transparent institutional payments, athlete protection, and enforceable market rules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3100"/>
        <w:gridCol w:w="3560"/>
        <w:gridCol w:w="2700"/>
      </w:tblGrid>
      <w:tr>
        <w:trPr>
          <w:trHeight w:hRule="auto"/>
          <w:tblHeader/>
          <w:cantSplit/>
          <w:cantSplit/>
        </w:trPr>
        <w:tc>
          <w:tcPr>
            <w:tcW w:type="dxa" w:w="31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Document role</w:t>
            </w:r>
          </w:p>
        </w:tc>
        <w:tc>
          <w:tcPr>
            <w:tcW w:type="dxa" w:w="35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Status</w:t>
            </w:r>
          </w:p>
        </w:tc>
        <w:tc>
          <w:tcPr>
            <w:tcW w:type="dxa" w:w="27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8"/>
              </w:rPr>
              <w:t>Date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3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Companion to Integrated FBS Competition Reform</w:t>
            </w:r>
          </w:p>
        </w:tc>
        <w:tc>
          <w:tcPr>
            <w:tcW w:type="dxa" w:w="35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Policy framework for legal and athlete-representative review</w:t>
            </w:r>
          </w:p>
        </w:tc>
        <w:tc>
          <w:tcPr>
            <w:tcW w:type="dxa" w:w="27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8"/>
              </w:rPr>
              <w:t>August 2026</w:t>
            </w:r>
          </w:p>
        </w:tc>
      </w:tr>
    </w:tbl>
    <w:p>
      <w:pPr>
        <w:spacing w:before="0" w:after="40"/>
      </w:pPr>
    </w:p>
    <w:p>
      <w:pPr>
        <w:spacing w:before="80" w:after="200"/>
      </w:pPr>
      <w:r>
        <w:rPr>
          <w:rFonts w:ascii="Calibri" w:hAnsi="Calibri"/>
          <w:b w:val="0"/>
          <w:i/>
          <w:color w:val="5D6672"/>
          <w:sz w:val="17"/>
        </w:rPr>
        <w:t>Written by Alec Levine. Developed with AI-assisted research, drafting, editing, modeling, and document production. The policy positions, judgments, and responsibility for this framework are Alec Levine’s.</w:t>
      </w:r>
    </w:p>
    <w:p>
      <w:pPr>
        <w:pStyle w:val="Lead"/>
        <w:spacing w:before="0"/>
      </w:pPr>
      <w:r>
        <w:rPr>
          <w:rFonts w:ascii="Calibri" w:hAnsi="Calibri"/>
          <w:b w:val="0"/>
          <w:i w:val="0"/>
        </w:rPr>
        <w:t>NIL should remain a genuine market for a person’s name, image, likeness, services, and audience—not a disguised recruiting payment system. At the same time, college sports cannot treat institutional revenue sharing, third-party NIL, and employment questions as though they were the same legal category.</w:t>
      </w:r>
    </w:p>
    <w:p>
      <w:pPr>
        <w:spacing w:before="120" w:after="200" w:line="288" w:lineRule="auto"/>
        <w:ind w:left="259" w:right="115"/>
        <w:shd w:fill="E8EEF5"/>
        <w:pBdr>
          <w:left w:val="single" w:sz="18" w:space="6" w:color="2E74B5"/>
        </w:pBdr>
        <w:keepLines/>
      </w:pPr>
      <w:r>
        <w:rPr>
          <w:rFonts w:ascii="Calibri" w:hAnsi="Calibri"/>
          <w:b/>
          <w:color w:val="2E74B5"/>
          <w:sz w:val="20"/>
        </w:rPr>
        <w:t xml:space="preserve">FRAMEWORK OBJECTIVE  </w:t>
      </w:r>
      <w:r>
        <w:rPr>
          <w:rFonts w:ascii="Calibri" w:hAnsi="Calibri"/>
          <w:color w:val="0B2545"/>
          <w:sz w:val="21"/>
        </w:rPr>
        <w:t>Protect athlete ownership and bargaining power; permit legitimate commercial activity; distinguish NIL from institutional benefits; prevent inducements disguised as endorsements; and provide fast, fair review without freezing ordinary business during the playing season.</w:t>
      </w:r>
    </w:p>
    <w:p>
      <w:pPr>
        <w:pStyle w:val="Heading1"/>
        <w:keepNext/>
        <w:keepLines/>
      </w:pPr>
      <w:r>
        <w:t>1. Scope and relationship to the competition proposal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900"/>
        <w:gridCol w:w="4130"/>
        <w:gridCol w:w="3330"/>
      </w:tblGrid>
      <w:tr>
        <w:trPr>
          <w:trHeight w:hRule="auto"/>
          <w:tblHeader/>
          <w:cantSplit/>
          <w:cantSplit/>
        </w:trPr>
        <w:tc>
          <w:tcPr>
            <w:tcW w:type="dxa" w:w="19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Category</w:t>
            </w:r>
          </w:p>
        </w:tc>
        <w:tc>
          <w:tcPr>
            <w:tcW w:type="dxa" w:w="413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Covered by this framework</w:t>
            </w:r>
          </w:p>
        </w:tc>
        <w:tc>
          <w:tcPr>
            <w:tcW w:type="dxa" w:w="333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Treatment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Third-party NIL</w:t>
            </w:r>
          </w:p>
        </w:tc>
        <w:tc>
          <w:tcPr>
            <w:tcW w:type="dxa" w:w="41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Endorsements, appearances, content, licensing, autographs, camps, and other legitimate services</w:t>
            </w:r>
          </w:p>
        </w:tc>
        <w:tc>
          <w:tcPr>
            <w:tcW w:type="dxa" w:w="33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Market transaction with disclosure and business-purpose review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Institutional NIL</w:t>
            </w:r>
          </w:p>
        </w:tc>
        <w:tc>
          <w:tcPr>
            <w:tcW w:type="dxa" w:w="41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Licensing, brand promotion, and endorsements purchased by an institution</w:t>
            </w:r>
          </w:p>
        </w:tc>
        <w:tc>
          <w:tcPr>
            <w:tcW w:type="dxa" w:w="33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Written contract, budget disclosure, rights valuation, and separation from athletics achievement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Institutional benefits or revenue sharing</w:t>
            </w:r>
          </w:p>
        </w:tc>
        <w:tc>
          <w:tcPr>
            <w:tcW w:type="dxa" w:w="41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Payments or benefits permitted under governing rules or settlement implementation</w:t>
            </w:r>
          </w:p>
        </w:tc>
        <w:tc>
          <w:tcPr>
            <w:tcW w:type="dxa" w:w="33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Separate payment category; never relabeled as third-party NIL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Employment compensation</w:t>
            </w:r>
          </w:p>
        </w:tc>
        <w:tc>
          <w:tcPr>
            <w:tcW w:type="dxa" w:w="41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Wages or collectively bargained payments if athlete status changes</w:t>
            </w:r>
          </w:p>
        </w:tc>
        <w:tc>
          <w:tcPr>
            <w:tcW w:type="dxa" w:w="33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Governed by applicable labor, tax, wage, and bargaining law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9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Postseason distributions</w:t>
            </w:r>
          </w:p>
        </w:tc>
        <w:tc>
          <w:tcPr>
            <w:tcW w:type="dxa" w:w="41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Permissible athlete payments or benefits tied to event participation</w:t>
            </w:r>
          </w:p>
        </w:tc>
        <w:tc>
          <w:tcPr>
            <w:tcW w:type="dxa" w:w="333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Disclosed event policy consistent with law and negotiated rights</w:t>
            </w:r>
          </w:p>
        </w:tc>
      </w:tr>
    </w:tbl>
    <w:p>
      <w:pPr>
        <w:spacing w:before="0" w:after="40"/>
      </w:pPr>
    </w:p>
    <w:p>
      <w:pPr>
        <w:spacing w:before="0"/>
      </w:pPr>
      <w:r>
        <w:rPr>
          <w:rFonts w:ascii="Calibri" w:hAnsi="Calibri"/>
          <w:b w:val="0"/>
          <w:i w:val="0"/>
        </w:rPr>
        <w:t>The competition proposal should reference this document but should not attempt to resolve every NIL or labor question inside the playoff format.</w:t>
      </w:r>
    </w:p>
    <w:p>
      <w:pPr>
        <w:pStyle w:val="Heading1"/>
        <w:keepNext/>
        <w:keepLines/>
      </w:pPr>
      <w:r>
        <w:t>2. Governing principles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Athlete ownership.</w:t>
      </w:r>
      <w:r>
        <w:rPr>
          <w:rFonts w:ascii="Calibri" w:hAnsi="Calibri"/>
        </w:rPr>
        <w:t xml:space="preserve"> An athlete controls use of the athlete’s identity and grants only the rights stated in a written agreement.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Real business purpose.</w:t>
      </w:r>
      <w:r>
        <w:rPr>
          <w:rFonts w:ascii="Calibri" w:hAnsi="Calibri"/>
        </w:rPr>
        <w:t xml:space="preserve"> Compensation must purchase identifiable rights, services, or audience value rather than attendance, enrollment, transfer, playing time, statistics, or competitive achievement.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Category clarity.</w:t>
      </w:r>
      <w:r>
        <w:rPr>
          <w:rFonts w:ascii="Calibri" w:hAnsi="Calibri"/>
        </w:rPr>
        <w:t xml:space="preserve"> Third-party NIL, institutional NIL, revenue sharing, financial aid, benefits, and employment compensation are recorded separately.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Comparable review.</w:t>
      </w:r>
      <w:r>
        <w:rPr>
          <w:rFonts w:ascii="Calibri" w:hAnsi="Calibri"/>
        </w:rPr>
        <w:t xml:space="preserve"> Transactions are evaluated through published factors and comparable evidence, not an opaque veto or a rule that assumes a prominent athlete cannot command a premium.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Fast due process.</w:t>
      </w:r>
      <w:r>
        <w:rPr>
          <w:rFonts w:ascii="Calibri" w:hAnsi="Calibri"/>
        </w:rPr>
        <w:t xml:space="preserve"> Review includes notice, an opportunity to cure, a written reason, and an expedited independent appeal before eligibility consequences whenever practicable.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No seasonal shutdown.</w:t>
      </w:r>
      <w:r>
        <w:rPr>
          <w:rFonts w:ascii="Calibri" w:hAnsi="Calibri"/>
        </w:rPr>
        <w:t xml:space="preserve"> Legitimate endorsements may operate during the season; coaches and recruiting staff may not use new or modified arrangements to conduct a roster auction.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  <w:b/>
          <w:color w:val="0B2545"/>
        </w:rPr>
        <w:t>Privacy by design.</w:t>
      </w:r>
      <w:r>
        <w:rPr>
          <w:rFonts w:ascii="Calibri" w:hAnsi="Calibri"/>
        </w:rPr>
        <w:t xml:space="preserve"> Only information necessary for compliance, tax, audit, and market-integrity purposes is collected and disclosed.</w:t>
      </w:r>
    </w:p>
    <w:p>
      <w:pPr>
        <w:pStyle w:val="Heading1"/>
        <w:keepNext/>
        <w:keepLines/>
      </w:pPr>
      <w:r>
        <w:t>3. Minimum contract standard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00"/>
        <w:gridCol w:w="6860"/>
      </w:tblGrid>
      <w:tr>
        <w:trPr>
          <w:trHeight w:hRule="auto"/>
          <w:tblHeader/>
          <w:cantSplit/>
          <w:cantSplit/>
        </w:trPr>
        <w:tc>
          <w:tcPr>
            <w:tcW w:type="dxa" w:w="25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Required term</w:t>
            </w:r>
          </w:p>
        </w:tc>
        <w:tc>
          <w:tcPr>
            <w:tcW w:type="dxa" w:w="68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Minimum content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Parties and capacity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Legal names, contact details, authority, and whether an agent or associated entity is involved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Rights and deliverables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Specific content, appearances, posts, marks, media, territory, term, frequency, approval rights, and performance dates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Compensation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Amount, schedule, form, expenses, taxes, conditions, late-payment rule, and any escrow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Exclusivity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Narrow product category, geography, media, and term; no blanket restriction broader than the purchased rights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Termination and cure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Material breach, missed deliverable, injury/illness, team rules, cancellation, cure period, repayment limits, and dispute process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Use after term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Archive, takedown, sell-off, highlights, and post-eligibility use; no perpetual rights unless separately priced and knowingly accepted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AI and digital replica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synthetic voice, face, avatar, model training, or digital replica without separate, specific, revocable consent and compensation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Data and confidentiality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Permitted collection and use, security, disclosure recipients, retention, breach notice, and publicity rights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4. Disclosure and independent review</w:t>
      </w:r>
    </w:p>
    <w:p>
      <w:pPr>
        <w:pStyle w:val="Heading2"/>
        <w:keepNext/>
        <w:keepLines/>
      </w:pPr>
      <w:r>
        <w:t>4.1 Single reporting channel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Use one secure reporting platform for third-party agreements at or above the governing reporting threshold, including aggregation rules for repeated payments from the same payer.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Collect contract, payer identity, compensation, deliverables, associated-entity status, agent information, payment status, and supporting market evidence.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Provide the athlete and adviser a receipt, case number, expected review date, missing-information notice, and final written disposition.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Publish anonymized aggregate data by sport, transaction type, value band, payer category, and review result without exposing individual commercial terms.</w:t>
      </w:r>
    </w:p>
    <w:p>
      <w:pPr>
        <w:pStyle w:val="Heading2"/>
        <w:keepNext/>
        <w:keepLines/>
      </w:pPr>
      <w:r>
        <w:t>4.2 Review standard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500"/>
        <w:gridCol w:w="6860"/>
      </w:tblGrid>
      <w:tr>
        <w:trPr>
          <w:trHeight w:hRule="auto"/>
          <w:tblHeader/>
          <w:cantSplit/>
          <w:cantSplit/>
        </w:trPr>
        <w:tc>
          <w:tcPr>
            <w:tcW w:type="dxa" w:w="25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Factor</w:t>
            </w:r>
          </w:p>
        </w:tc>
        <w:tc>
          <w:tcPr>
            <w:tcW w:type="dxa" w:w="68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Evidence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Business purpose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Campaign plan, product, service, audience, content, appearance, or licensing use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Reasonable compensation range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Comparable creators or athletes, reach, engagement, scarcity, deliverables, term, exclusivity, production burden, and actual campaign use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Payer independence and association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Ownership, donor or collective relationship, institutional contacts, funding source, and coordination evidence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Performance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Completed deliverables, proof of use, invoices, payment records, and documented changes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Prohibited contingency</w:t>
            </w:r>
          </w:p>
        </w:tc>
        <w:tc>
          <w:tcPr>
            <w:tcW w:type="dxa" w:w="68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condition tied to enrollment, transfer, roster status, playing time, statistics, wins, awards, or postseason selection</w:t>
            </w:r>
          </w:p>
        </w:tc>
      </w:tr>
    </w:tbl>
    <w:p>
      <w:pPr>
        <w:spacing w:before="0" w:after="40"/>
      </w:pPr>
    </w:p>
    <w:p>
      <w:pPr>
        <w:spacing w:before="120" w:after="200" w:line="288" w:lineRule="auto"/>
        <w:ind w:left="259" w:right="115"/>
        <w:shd w:fill="F7F0D8"/>
        <w:pBdr>
          <w:left w:val="single" w:sz="18" w:space="6" w:color="7A5A00"/>
        </w:pBdr>
        <w:keepLines/>
      </w:pPr>
      <w:r>
        <w:rPr>
          <w:rFonts w:ascii="Calibri" w:hAnsi="Calibri"/>
          <w:b/>
          <w:color w:val="7A5A00"/>
          <w:sz w:val="20"/>
        </w:rPr>
        <w:t xml:space="preserve">FAIR-MARKET-VALUE GUARDRAIL  </w:t>
      </w:r>
      <w:r>
        <w:rPr>
          <w:rFonts w:ascii="Calibri" w:hAnsi="Calibri"/>
          <w:color w:val="0B2545"/>
          <w:sz w:val="21"/>
        </w:rPr>
        <w:t>A reasonable-range review should test whether a legitimate commercial explanation exists; it should not impose a rigid salary scale on personal publicity rights. Comparable evidence may justify wide ranges for athletes with different audiences, markets, scarcity, or deliverables.</w:t>
      </w:r>
    </w:p>
    <w:p>
      <w:pPr>
        <w:pStyle w:val="Heading1"/>
        <w:keepNext/>
        <w:keepLines/>
      </w:pPr>
      <w:r>
        <w:t>5. Recruiting, transfer, and institutional firewalls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No NIL offer may be contingent on initial enrollment, continued attendance, transfer, refusal to transfer, roster status, playing time, performance, or team success.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Coaches and recruiting personnel may explain institutional NIL resources and education but may not negotiate a third-party deal, direct a payer to a named prospect, guarantee a value, or condition roster decisions on a transaction.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An associated entity may conduct legitimate campaigns but must disclose funding sources, institutional contacts, athlete-selection criteria, deliverables, and payment performance.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During the protected championship period, ordinary commercial work may continue. New or modified transactions involving associated entities receive priority review, and football staff may not participate in solicitation or negotiation.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A transfer-portal decision does not terminate an existing agreement unless the contract contains a lawful, specifically disclosed commercial term that is not a disguised non-transfer penalty.</w:t>
      </w:r>
    </w:p>
    <w:p>
      <w:pPr>
        <w:pStyle w:val="Heading1"/>
        <w:keepNext/>
        <w:keepLines/>
      </w:pPr>
      <w:r>
        <w:t>6. Agents, advisers, and athlete services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50"/>
        <w:gridCol w:w="6710"/>
      </w:tblGrid>
      <w:tr>
        <w:trPr>
          <w:trHeight w:hRule="auto"/>
          <w:tblHeader/>
          <w:cantSplit/>
          <w:cantSplit/>
        </w:trPr>
        <w:tc>
          <w:tcPr>
            <w:tcW w:type="dxa" w:w="265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Protection</w:t>
            </w:r>
          </w:p>
        </w:tc>
        <w:tc>
          <w:tcPr>
            <w:tcW w:type="dxa" w:w="671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Required standard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Registration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Identity, contact, good-standing, disciplinary history, insurance, fee schedule, conflicts, and designated service agent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Written representation agreement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Scope, duration, fees, expenses, termination, post-term commissions, conflicts, data use, and dispute rights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Fee transparency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 hidden payer-side compensation, undisclosed referral fees, or double representation without informed written consent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Trust and payment controls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Prompt accounting, segregated client funds where required, invoices, payment tracking, and audit access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Education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Contract literacy, taxes, business entities, budgeting, intellectual property, cybersecurity, brand safety, and long-term financial planning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5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Independent access</w:t>
            </w:r>
          </w:p>
        </w:tc>
        <w:tc>
          <w:tcPr>
            <w:tcW w:type="dxa" w:w="671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Athletes may use personal counsel, certified agents, tax advisers, and financial professionals without institutional retaliation</w:t>
            </w:r>
          </w:p>
        </w:tc>
      </w:tr>
    </w:tbl>
    <w:p>
      <w:pPr>
        <w:spacing w:before="0" w:after="40"/>
      </w:pPr>
    </w:p>
    <w:p>
      <w:pPr>
        <w:pStyle w:val="Heading1"/>
        <w:keepNext/>
        <w:keepLines/>
      </w:pPr>
      <w:r>
        <w:t>7. Enforcement and due process</w:t>
      </w:r>
    </w:p>
    <w:p>
      <w:pPr>
        <w:pStyle w:val="Heading2"/>
        <w:keepNext/>
        <w:keepLines/>
      </w:pPr>
      <w:r>
        <w:t>7.1 Graduated responses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1500"/>
        <w:gridCol w:w="3760"/>
        <w:gridCol w:w="4100"/>
      </w:tblGrid>
      <w:tr>
        <w:trPr>
          <w:trHeight w:hRule="auto"/>
          <w:tblHeader/>
          <w:cantSplit/>
          <w:cantSplit/>
        </w:trPr>
        <w:tc>
          <w:tcPr>
            <w:tcW w:type="dxa" w:w="15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Level</w:t>
            </w:r>
          </w:p>
        </w:tc>
        <w:tc>
          <w:tcPr>
            <w:tcW w:type="dxa" w:w="37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Example</w:t>
            </w:r>
          </w:p>
        </w:tc>
        <w:tc>
          <w:tcPr>
            <w:tcW w:type="dxa" w:w="41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Default response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Administrative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Late report, incomplete field, or correctable contract omission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Notice, education, cure period, and no eligibility effect after timely correction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Substantive but curable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Unsupported value, unclear deliverable, or associated-entity disclosure gap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Supplemental evidence, contract amendment, escrow, or prospective correction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Serious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Sham deliverable, recruiting contingency, false statement, or coordinated circumvention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Independent investigation, disgorgement or contract remedy where lawful, payer/agent sanction, and proportionate eligibility review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15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Institutional</w:t>
            </w:r>
          </w:p>
        </w:tc>
        <w:tc>
          <w:tcPr>
            <w:tcW w:type="dxa" w:w="3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Staff coordination, retaliation, concealment, or pattern of circumvention</w:t>
            </w:r>
          </w:p>
        </w:tc>
        <w:tc>
          <w:tcPr>
            <w:tcW w:type="dxa" w:w="41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Institutional penalties, staff accountability, enhanced monitoring, and public decision</w:t>
            </w:r>
          </w:p>
        </w:tc>
      </w:tr>
    </w:tbl>
    <w:p>
      <w:pPr>
        <w:spacing w:before="0" w:after="40"/>
      </w:pPr>
    </w:p>
    <w:p>
      <w:pPr>
        <w:pStyle w:val="Heading2"/>
        <w:keepNext/>
        <w:keepLines/>
      </w:pPr>
      <w:r>
        <w:t>7.2 Procedural protections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Written notice of the questioned transaction and the specific standard at issue.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Access to nonprivileged evidence, reasonable response time, representation, and a meaningful opportunity to cure.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Independent decision-maker and expedited appeal, with emergency relief before a missed contest when practicable.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Proportionate remedies directed first at the responsible payer, agent, staff member, or institution rather than automatic athlete ineligibility.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Published anonymized precedent so similar transactions receive similar treatment.</w:t>
      </w:r>
    </w:p>
    <w:p>
      <w:pPr>
        <w:pStyle w:val="Heading1"/>
        <w:keepNext/>
        <w:keepLines/>
      </w:pPr>
      <w:r>
        <w:t>8. Governance, audit, and implementation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</w:tblPr>
      <w:tblGrid>
        <w:gridCol w:w="2600"/>
        <w:gridCol w:w="6760"/>
      </w:tblGrid>
      <w:tr>
        <w:trPr>
          <w:trHeight w:hRule="auto"/>
          <w:tblHeader/>
          <w:cantSplit/>
          <w:cantSplit/>
        </w:trPr>
        <w:tc>
          <w:tcPr>
            <w:tcW w:type="dxa" w:w="260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Body</w:t>
            </w:r>
          </w:p>
        </w:tc>
        <w:tc>
          <w:tcPr>
            <w:tcW w:type="dxa" w:w="6760"/>
            <w:vAlign w:val="center"/>
            <w:shd w:fill="F2F4F7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4" w:lineRule="auto"/>
            </w:pPr>
            <w:r>
              <w:rPr>
                <w:rFonts w:ascii="Calibri" w:hAnsi="Calibri"/>
                <w:b/>
                <w:color w:val="0B2545"/>
                <w:sz w:val="17"/>
              </w:rPr>
              <w:t>Role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NIL policy council</w:t>
            </w:r>
          </w:p>
        </w:tc>
        <w:tc>
          <w:tcPr>
            <w:tcW w:type="dxa" w:w="6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Athletes, institutions, conferences, independent experts, agents, brands, labor and antitrust counsel, and consumer-protection expertise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Independent review unit</w:t>
            </w:r>
          </w:p>
        </w:tc>
        <w:tc>
          <w:tcPr>
            <w:tcW w:type="dxa" w:w="6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Transaction review, associated-entity classification, market-comparable analysis, decisions, and appeals administration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Audit and integrity function</w:t>
            </w:r>
          </w:p>
        </w:tc>
        <w:tc>
          <w:tcPr>
            <w:tcW w:type="dxa" w:w="6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Risk-based payer, agent, institution, and platform audits; conflict and retaliation reporting</w:t>
            </w:r>
          </w:p>
        </w:tc>
      </w:tr>
      <w:tr>
        <w:trPr>
          <w:cantSplit/>
          <w:cantSplit/>
          <w:trHeight w:hRule="auto"/>
        </w:trPr>
        <w:tc>
          <w:tcPr>
            <w:tcW w:type="dxa" w:w="260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Athlete advisory panel</w:t>
            </w:r>
          </w:p>
        </w:tc>
        <w:tc>
          <w:tcPr>
            <w:tcW w:type="dxa" w:w="6760"/>
            <w:vAlign w:val="center"/>
            <w:tcBorders>
              <w:top w:val="single" w:sz="4" w:color="C8D0D9"/>
              <w:left w:val="single" w:sz="4" w:color="C8D0D9"/>
              <w:bottom w:val="single" w:sz="4" w:color="C8D0D9"/>
              <w:right w:val="single" w:sz="4" w:color="C8D0D9"/>
              <w:insideH w:val="single" w:sz="4" w:color="C8D0D9"/>
              <w:insideV w:val="single" w:sz="4" w:color="C8D0D9"/>
            </w:tcBorders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0" w:after="0" w:line="269" w:lineRule="auto"/>
            </w:pPr>
            <w:r>
              <w:rPr>
                <w:rFonts w:ascii="Calibri" w:hAnsi="Calibri"/>
                <w:sz w:val="17"/>
              </w:rPr>
              <w:t>Review contract standards, education, reporting burden, privacy, enforcement, and annual policy changes</w:t>
            </w:r>
          </w:p>
        </w:tc>
      </w:tr>
    </w:tbl>
    <w:p>
      <w:pPr>
        <w:spacing w:before="0" w:after="40"/>
      </w:pPr>
    </w:p>
    <w:p>
      <w:pPr>
        <w:numPr>
          <w:ilvl w:val="0"/>
          <w:numId w:val="11"/>
        </w:numPr>
        <w:keepLines/>
      </w:pPr>
      <w:r>
        <w:rPr>
          <w:rFonts w:ascii="Calibri" w:hAnsi="Calibri"/>
        </w:rPr>
        <w:t>Stage 1: map current governing rules, settlement implementation, state law, institutional policies, and bargaining obligations.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</w:rPr>
        <w:t>Stage 2: publish model contract terms, agent rules, data definitions, review factors, timelines, and anonymized examples.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</w:rPr>
        <w:t>Stage 3: conduct a sandbox season using advisory review and cure-first enforcement while measuring burden, timing, consistency, and false positives.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</w:rPr>
        <w:t>Stage 4: adopt binding rules only after athlete-representative, legal, privacy, tax, and operational review.</w:t>
      </w:r>
    </w:p>
    <w:p>
      <w:pPr>
        <w:numPr>
          <w:ilvl w:val="0"/>
          <w:numId w:val="11"/>
        </w:numPr>
        <w:keepLines/>
      </w:pPr>
      <w:r>
        <w:rPr>
          <w:rFonts w:ascii="Calibri" w:hAnsi="Calibri"/>
        </w:rPr>
        <w:t>Stage 5: publish annual market and enforcement reports, conduct independent audits, and sunset rules that do not remain necessary and proportionate.</w:t>
      </w:r>
    </w:p>
    <w:p>
      <w:pPr>
        <w:pStyle w:val="Heading1"/>
        <w:keepNext/>
        <w:keepLines/>
      </w:pPr>
      <w:r>
        <w:t>9. Open legal and policy questions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How federal and state NIL rules interact and whether a uniform rule is legally available.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Whether and when athletes are employees, and which compensation, movement, and working-condition rules require bargaining.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The permissible scope of joint market restraints, associated-entity review, disclosure, and reasonable-range analysis under antitrust and labor law.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Tax classification, withholding, business-entity use, international-athlete work authorization, and treatment of benefits or direct payments.</w:t>
      </w:r>
    </w:p>
    <w:p>
      <w:pPr>
        <w:numPr>
          <w:ilvl w:val="0"/>
          <w:numId w:val="10"/>
        </w:numPr>
        <w:keepLines/>
      </w:pPr>
      <w:r>
        <w:rPr>
          <w:rFonts w:ascii="Calibri" w:hAnsi="Calibri"/>
        </w:rPr>
        <w:t>Group licensing, video-game and broadcast uses, biometric and performance data, AI replicas, and post-eligibility rights.</w:t>
      </w:r>
    </w:p>
    <w:p>
      <w:pPr>
        <w:spacing w:before="0"/>
      </w:pPr>
      <w:r>
        <w:rPr>
          <w:rFonts w:ascii="Calibri" w:hAnsi="Calibri"/>
          <w:b w:val="0"/>
          <w:i/>
          <w:color w:val="5D6672"/>
        </w:rPr>
        <w:t>These questions must be answered by qualified counsel and affected representatives; the framework does not assume that rulebook language can override law or bargaining rights.</w:t>
      </w:r>
    </w:p>
    <w:p>
      <w:pPr>
        <w:pStyle w:val="Heading1"/>
        <w:keepNext/>
        <w:keepLines/>
      </w:pPr>
      <w:r>
        <w:t>10. Sources</w:t>
      </w:r>
    </w:p>
    <w:p>
      <w:pPr>
        <w:spacing w:after="60" w:line="240" w:lineRule="auto"/>
        <w:ind w:left="317"/>
        <w:keepLines/>
      </w:pPr>
      <w:hyperlink r:id="rId11">
        <w:r>
          <w:rPr>
            <w:rFonts w:ascii="Calibri" w:hAnsi="Calibri"/>
            <w:color w:val="2E74B5"/>
            <w:u w:val="single"/>
            <w:sz w:val="17"/>
            <w:szCs w:val="17"/>
          </w:rPr>
          <w:t>NCAA, Name, Image and Likeness — current reporting and review overview</w:t>
        </w:r>
      </w:hyperlink>
    </w:p>
    <w:p>
      <w:pPr>
        <w:spacing w:after="60" w:line="240" w:lineRule="auto"/>
        <w:ind w:left="317"/>
        <w:keepLines/>
      </w:pPr>
      <w:hyperlink r:id="rId12">
        <w:r>
          <w:rPr>
            <w:rFonts w:ascii="Calibri" w:hAnsi="Calibri"/>
            <w:color w:val="2E74B5"/>
            <w:u w:val="single"/>
            <w:sz w:val="17"/>
            <w:szCs w:val="17"/>
          </w:rPr>
          <w:t>NCAA, Division I Board conditionally approves House settlement-related rules changes</w:t>
        </w:r>
      </w:hyperlink>
    </w:p>
    <w:p>
      <w:pPr>
        <w:spacing w:after="60" w:line="240" w:lineRule="auto"/>
        <w:ind w:left="317"/>
        <w:keepLines/>
      </w:pPr>
      <w:hyperlink r:id="rId13">
        <w:r>
          <w:rPr>
            <w:rFonts w:ascii="Calibri" w:hAnsi="Calibri"/>
            <w:color w:val="2E74B5"/>
            <w:u w:val="single"/>
            <w:sz w:val="17"/>
            <w:szCs w:val="17"/>
          </w:rPr>
          <w:t>NCAA, Division I Legislation and Policy</w:t>
        </w:r>
      </w:hyperlink>
    </w:p>
    <w:p>
      <w:pPr>
        <w:spacing w:before="200" w:after="0"/>
      </w:pPr>
      <w:r>
        <w:rPr>
          <w:rFonts w:ascii="Calibri" w:hAnsi="Calibri"/>
          <w:b w:val="0"/>
          <w:i/>
          <w:color w:val="5D6672"/>
          <w:sz w:val="17"/>
        </w:rPr>
        <w:t>End of framework.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5D6672"/>
        <w:sz w:val="18"/>
      </w:rPr>
      <w:t xml:space="preserve">INTEGRATED FBS REFORM · </w:t>
    </w:r>
    <w:r>
      <w:rPr>
        <w:rFonts w:ascii="Calibri" w:hAnsi="Calibri"/>
        <w:color w:val="5D6672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Calibri" w:hAnsi="Calibri"/>
        <w:b/>
        <w:color w:val="5D6672"/>
        <w:sz w:val="17"/>
      </w:rPr>
      <w:t>NIL AND ATHLETE RIGHTS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pPr>
        <w:tabs>
          <w:tab w:val="num" w:pos="720"/>
        </w:tabs>
        <w:ind w:left="720" w:hanging="360"/>
        <w:spacing w:after="160" w:line="280" w:lineRule="auto"/>
      </w:p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pPr>
        <w:tabs>
          <w:tab w:val="num" w:pos="720"/>
        </w:tabs>
        <w:ind w:left="720" w:hanging="360"/>
        <w:spacing w:after="160" w:line="280" w:lineRule="auto"/>
      </w:p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b w:val="0"/>
      <w:color w:val="222222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before="0" w:after="200" w:line="288" w:lineRule="auto"/>
    </w:pPr>
    <w:rPr>
      <w:rFonts w:ascii="Calibri" w:hAnsi="Calibri"/>
      <w:b w:val="0"/>
      <w:color w:val="0B2545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ncaa.org/student-athletes/name-image-likeness/" TargetMode="External"/><Relationship Id="rId12" Type="http://schemas.openxmlformats.org/officeDocument/2006/relationships/hyperlink" Target="https://www.ncaa.org/media-center-di-board-of-directors-conditionally-approves-house-settlement-related-rules-changes/" TargetMode="External"/><Relationship Id="rId13" Type="http://schemas.openxmlformats.org/officeDocument/2006/relationships/hyperlink" Target="https://www.ncaa.org/division-i/governance/legislation-and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FBS Reform NIL and Athlete Economic Rights Framework</dc:title>
  <dc:subject>Legitimate NIL activity, institutional payments, athlete protection, and enforceable market rules</dc:subject>
  <dc:creator>Alec Levine</dc:creator>
  <cp:keywords/>
  <dc:description>Reviewed against the Better College Football website on August 29, 2026. The website is the current primary version; this file is an offline backup reference.</dc:description>
  <cp:lastModifiedBy>Alec Levine</cp:lastModifiedBy>
  <cp:revision>20260829</cp:revision>
  <dcterms:created xsi:type="dcterms:W3CDTF">2013-12-23T23:15:00Z</dcterms:created>
  <dcterms:modified xsi:type="dcterms:W3CDTF">2026-08-29T12:00:00Z</dcterms:modified>
  <cp:category/>
</cp:coreProperties>
</file>