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pPr>
      <w:r>
        <w:rPr>
          <w:rFonts w:ascii="Calibri" w:hAnsi="Calibri"/>
          <w:b/>
          <w:i w:val="0"/>
          <w:color w:val="5D6672"/>
          <w:sz w:val="20"/>
        </w:rPr>
        <w:t>COMPANION POLICY BRIEF</w:t>
      </w:r>
    </w:p>
    <w:p>
      <w:pPr>
        <w:spacing w:before="0" w:after="120"/>
        <w:keepNext/>
        <w:keepLines/>
      </w:pPr>
      <w:r>
        <w:rPr>
          <w:rFonts w:ascii="Calibri" w:hAnsi="Calibri"/>
          <w:b/>
          <w:i w:val="0"/>
          <w:color w:val="0B2545"/>
          <w:sz w:val="48"/>
        </w:rPr>
        <w:t>PUBLIC COMMUNICATION AND ADVOCACY KIT</w:t>
      </w:r>
    </w:p>
    <w:p>
      <w:pPr>
        <w:spacing w:before="0" w:after="320"/>
        <w:keepNext/>
        <w:keepLines/>
      </w:pPr>
      <w:r>
        <w:rPr>
          <w:rFonts w:ascii="Calibri" w:hAnsi="Calibri"/>
          <w:b w:val="0"/>
          <w:i w:val="0"/>
          <w:color w:val="1F4D78"/>
          <w:sz w:val="27"/>
        </w:rPr>
        <w:t>A public statement, submission note, frequently asked questions, and adaptable social copy for the Integrated FBS Competition Reform proposal</w:t>
      </w:r>
    </w:p>
    <w:tbl>
      <w:tblPr>
        <w:tblW w:type="dxa" w:w="9360"/>
        <w:jc w:val="left"/>
        <w:tblLayout w:type="fixed"/>
        <w:tblLook w:firstColumn="1" w:firstRow="1" w:lastColumn="0" w:lastRow="0" w:noHBand="0" w:noVBand="1" w:val="04A0"/>
        <w:tblInd w:type="dxa" w:w="120"/>
      </w:tblPr>
      <w:tblGrid>
        <w:gridCol w:w="3100"/>
        <w:gridCol w:w="3560"/>
        <w:gridCol w:w="2700"/>
      </w:tblGrid>
      <w:tr>
        <w:trPr>
          <w:trHeight w:hRule="auto"/>
          <w:tblHeader/>
          <w:cantSplit/>
          <w:cantSplit/>
        </w:trPr>
        <w:tc>
          <w:tcPr>
            <w:tcW w:type="dxa" w:w="31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Document role</w:t>
            </w:r>
          </w:p>
        </w:tc>
        <w:tc>
          <w:tcPr>
            <w:tcW w:type="dxa" w:w="35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Status</w:t>
            </w:r>
          </w:p>
        </w:tc>
        <w:tc>
          <w:tcPr>
            <w:tcW w:type="dxa" w:w="27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Date</w:t>
            </w:r>
          </w:p>
        </w:tc>
      </w:tr>
      <w:tr>
        <w:trPr>
          <w:cantSplit/>
          <w:cantSplit/>
          <w:trHeight w:hRule="auto"/>
        </w:trPr>
        <w:tc>
          <w:tcPr>
            <w:tcW w:type="dxa" w:w="31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Companion to Integrated FBS Competition Reform</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Public-facing companion prepared for discussion and stakeholder outreach</w:t>
            </w:r>
          </w:p>
        </w:tc>
        <w:tc>
          <w:tcPr>
            <w:tcW w:type="dxa" w:w="2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August 2026</w:t>
            </w:r>
          </w:p>
        </w:tc>
      </w:tr>
    </w:tbl>
    <w:p>
      <w:pPr>
        <w:spacing w:before="0" w:after="40"/>
      </w:pPr>
    </w:p>
    <w:p>
      <w:pPr>
        <w:spacing w:before="80" w:after="200"/>
      </w:pPr>
      <w:r>
        <w:rPr>
          <w:rFonts w:ascii="Calibri" w:hAnsi="Calibri"/>
          <w:b w:val="0"/>
          <w:i/>
          <w:color w:val="5D6672"/>
          <w:sz w:val="17"/>
        </w:rPr>
        <w:t>Written by Alec Levine. Developed with AI-assisted research, drafting, editing, modeling, and document production. The policy positions, judgments, and responsibility for this framework are Alec Levine’s.</w:t>
      </w:r>
    </w:p>
    <w:p>
      <w:pPr>
        <w:pStyle w:val="Lead"/>
        <w:spacing w:before="0"/>
      </w:pPr>
      <w:r>
        <w:rPr>
          <w:rFonts w:ascii="Calibri" w:hAnsi="Calibri"/>
          <w:b w:val="0"/>
          <w:i w:val="0"/>
        </w:rPr>
        <w:t>This kit translates the technical proposal into language suitable for fans, journalists, athletics leaders, public discussion, and direct stakeholder outreach. It preserves the substance of the proposal while making the central argument easier to understand and share.</w:t>
      </w:r>
    </w:p>
    <w:p>
      <w:pPr>
        <w:spacing w:before="120" w:after="200" w:line="288" w:lineRule="auto"/>
        <w:ind w:left="259" w:right="115"/>
        <w:shd w:fill="E8EEF5"/>
        <w:pBdr>
          <w:left w:val="single" w:sz="18" w:space="6" w:color="2E74B5"/>
        </w:pBdr>
        <w:keepLines/>
      </w:pPr>
      <w:r>
        <w:rPr>
          <w:rFonts w:ascii="Calibri" w:hAnsi="Calibri"/>
          <w:b/>
          <w:color w:val="2E74B5"/>
          <w:sz w:val="20"/>
        </w:rPr>
        <w:t xml:space="preserve">PUBLIC THESIS  </w:t>
      </w:r>
      <w:r>
        <w:rPr>
          <w:rFonts w:ascii="Calibri" w:hAnsi="Calibri"/>
          <w:color w:val="0B2545"/>
          <w:sz w:val="21"/>
        </w:rPr>
        <w:t>Keep the traditions. Fix the incentives. College football can broaden meaningful access, reward difficult competition, protect the active season, and preserve conferences, rivalries, campuses, and bowls within one coherent FBS system.</w:t>
      </w:r>
    </w:p>
    <w:p>
      <w:pPr>
        <w:pStyle w:val="Heading1"/>
        <w:keepNext/>
        <w:keepLines/>
      </w:pPr>
      <w:r>
        <w:t>1. Author’s public statement</w:t>
      </w:r>
    </w:p>
    <w:p>
      <w:pPr>
        <w:spacing w:before="0"/>
      </w:pPr>
      <w:r>
        <w:rPr>
          <w:rFonts w:ascii="Calibri" w:hAnsi="Calibri"/>
          <w:b w:val="0"/>
          <w:i w:val="0"/>
        </w:rPr>
        <w:t>College football does not need expansion for expansion’s sake. It needs a structure in which the regular season, conference championships, national postseason, roster calendar, and economic incentives reinforce one another instead of working at cross-purposes.</w:t>
      </w:r>
    </w:p>
    <w:p>
      <w:pPr>
        <w:spacing w:before="0"/>
      </w:pPr>
      <w:r>
        <w:rPr>
          <w:rFonts w:ascii="Calibri" w:hAnsi="Calibri"/>
          <w:b w:val="0"/>
          <w:i w:val="0"/>
        </w:rPr>
        <w:t>My proposal begins with an 18-team College Football Playoff, but the bracket is only one part of the idea. The top two teams receive double byes, the next eight receive single byes, and the remaining eight play campus opening-round games. The structure makes every improvement in ranking meaningful. It also gives conference champions and conference-title participants defined protection without pretending that an automatic benefit should erase the underlying résumé order.</w:t>
      </w:r>
    </w:p>
    <w:p>
      <w:pPr>
        <w:spacing w:before="0"/>
      </w:pPr>
      <w:r>
        <w:rPr>
          <w:rFonts w:ascii="Calibri" w:hAnsi="Calibri"/>
          <w:b w:val="0"/>
          <w:i w:val="0"/>
        </w:rPr>
        <w:t>The proposal also creates a distinct 16-team National Tournament exclusively for eligible FBS institutions outside the Power Four that are not selected for the CFP. Power Four teams are never eligible. Conference champions receive automatic access and a home opening game; remaining positions are awarded transparently. This is not a new subdivision and not a consolation bracket. It is a meaningful postseason objective for programs that are too often left with little to play for after one or two losses.</w:t>
      </w:r>
    </w:p>
    <w:p>
      <w:pPr>
        <w:spacing w:before="0"/>
      </w:pPr>
      <w:r>
        <w:rPr>
          <w:rFonts w:ascii="Calibri" w:hAnsi="Calibri"/>
          <w:b w:val="0"/>
          <w:i w:val="0"/>
        </w:rPr>
        <w:t>A non-Power Four or independent institution selected for the CFP should always take the CFP opportunity. If it loses, it should not drop into the National Tournament after that tournament has begun. A mid-postseason transfer would create unequal rest, unstable brackets, and the appearance that the second event exists to receive eliminated teams. The better answer is to protect the CFP qualifier economically, recognize the achievement formally, and give that institution a valuable showcase opportunity the following season. One result does not prove that the selection was a mistake.</w:t>
      </w:r>
    </w:p>
    <w:p>
      <w:pPr>
        <w:spacing w:before="0"/>
      </w:pPr>
      <w:r>
        <w:rPr>
          <w:rFonts w:ascii="Calibri" w:hAnsi="Calibri"/>
          <w:b w:val="0"/>
          <w:i w:val="0"/>
        </w:rPr>
        <w:t>The larger reform matters just as much. Official rankings should be based on transparent résumé evidence, not preseason reputation. Strong schedules and road performance should be rewarded. Conference championships should create upside without exposing participants to arbitrary downside. The portal, formal signing, and the head-coaching market should not operate in the middle of the championship season. The best feasible games should be played on campuses when students and campus communities are present.</w:t>
      </w:r>
    </w:p>
    <w:p>
      <w:pPr>
        <w:spacing w:before="0"/>
      </w:pPr>
      <w:r>
        <w:rPr>
          <w:rFonts w:ascii="Calibri" w:hAnsi="Calibri"/>
          <w:b w:val="0"/>
          <w:i w:val="0"/>
        </w:rPr>
        <w:t>This is a proposal for discussion, testing, and improvement—not a claim that every operational, legal, labor, media, or financial question is already resolved. Those questions need historical simulation, athlete and institutional input, legal review, media diligence, and transparent governance. The accompanying briefs and workbook identify those tests rather than hiding them.</w:t>
      </w:r>
    </w:p>
    <w:p>
      <w:pPr>
        <w:spacing w:before="0"/>
      </w:pPr>
      <w:r>
        <w:rPr>
          <w:rFonts w:ascii="Calibri" w:hAnsi="Calibri"/>
          <w:b w:val="0"/>
          <w:i w:val="0"/>
        </w:rPr>
        <w:t>The goal is not to make every institution equal. It is to make every part of the sport meaningful: the regular season, conference races, national championship, complementary postseason, bowls, rivalries, and roster calendar. College football can be more coherent without becoming generic—and more inclusive without flattening excellence.</w:t>
      </w:r>
    </w:p>
    <w:p>
      <w:pPr>
        <w:pStyle w:val="Heading1"/>
        <w:keepNext/>
        <w:keepLines/>
      </w:pPr>
      <w:r>
        <w:t>2. Stakeholder submission note</w:t>
      </w:r>
    </w:p>
    <w:p>
      <w:pPr>
        <w:spacing w:before="0"/>
      </w:pPr>
      <w:r>
        <w:rPr>
          <w:rFonts w:ascii="Calibri" w:hAnsi="Calibri"/>
          <w:b/>
          <w:i w:val="0"/>
          <w:color w:val="0B2545"/>
        </w:rPr>
        <w:t>Subject: Integrated proposal for FBS competition and postseason reform</w:t>
      </w:r>
    </w:p>
    <w:p>
      <w:pPr>
        <w:spacing w:before="0"/>
      </w:pPr>
      <w:r>
        <w:rPr>
          <w:rFonts w:ascii="Calibri" w:hAnsi="Calibri"/>
          <w:b w:val="0"/>
          <w:i w:val="0"/>
        </w:rPr>
        <w:t>To the appropriate college football, conference, and Division I stakeholders:</w:t>
      </w:r>
    </w:p>
    <w:p>
      <w:pPr>
        <w:spacing w:before="0"/>
      </w:pPr>
      <w:r>
        <w:rPr>
          <w:rFonts w:ascii="Calibri" w:hAnsi="Calibri"/>
          <w:b w:val="0"/>
          <w:i w:val="0"/>
        </w:rPr>
        <w:t>I am submitting the attached Integrated FBS Competition Reform proposal for consideration and constructive review. It presents an interconnected framework for an 18-team CFP, protected and meaningful conference championships, transparent ranking standards, a reformed national calendar, and a distinct National Tournament available exclusively to eligible FBS institutions outside the Power Four.</w:t>
      </w:r>
    </w:p>
    <w:p>
      <w:pPr>
        <w:spacing w:before="0"/>
      </w:pPr>
      <w:r>
        <w:rPr>
          <w:rFonts w:ascii="Calibri" w:hAnsi="Calibri"/>
          <w:b w:val="0"/>
          <w:i w:val="0"/>
        </w:rPr>
        <w:t>The proposal is accompanied by separate briefs addressing competition validation and implementation, financial and media feasibility, NIL and athlete economic rights, and an editable historical-simulation and feasibility model. The central request is not immediate adoption. It is authorization of a structured design and testing process with athlete, institutional, conference, CFP, NCAA, legal, medical, and commercial participation.</w:t>
      </w:r>
    </w:p>
    <w:p>
      <w:pPr>
        <w:spacing w:before="0"/>
      </w:pPr>
      <w:r>
        <w:rPr>
          <w:rFonts w:ascii="Calibri" w:hAnsi="Calibri"/>
          <w:b w:val="0"/>
          <w:i w:val="0"/>
        </w:rPr>
        <w:t>I would welcome substantive criticism, historical testing, and discussion of the tradeoffs. My objective is to preserve the parts of college football that people value while improving the incentives and calendars that increasingly work against them.</w:t>
      </w:r>
    </w:p>
    <w:p>
      <w:pPr>
        <w:spacing w:before="0"/>
      </w:pPr>
      <w:r>
        <w:rPr>
          <w:rFonts w:ascii="Calibri" w:hAnsi="Calibri"/>
          <w:b w:val="0"/>
          <w:i w:val="0"/>
        </w:rPr>
        <w:t>Sincerely,</w:t>
        <w:br/>
        <w:t>Alec Levine</w:t>
      </w:r>
    </w:p>
    <w:p>
      <w:pPr>
        <w:pStyle w:val="Heading1"/>
        <w:keepNext/>
        <w:keepLines/>
      </w:pPr>
      <w:r>
        <w:t>3. Frequently asked questions</w:t>
      </w:r>
    </w:p>
    <w:p>
      <w:pPr>
        <w:spacing w:before="0" w:after="40"/>
        <w:keepNext/>
        <w:keepLines/>
      </w:pPr>
      <w:r>
        <w:rPr>
          <w:rFonts w:ascii="Calibri" w:hAnsi="Calibri"/>
          <w:b/>
          <w:i w:val="0"/>
          <w:color w:val="1F4D78"/>
        </w:rPr>
        <w:t>Is this simply a proposal for a larger playoff?</w:t>
      </w:r>
    </w:p>
    <w:p>
      <w:pPr>
        <w:spacing w:before="0" w:after="160"/>
      </w:pPr>
      <w:r>
        <w:rPr>
          <w:rFonts w:ascii="Calibri" w:hAnsi="Calibri"/>
          <w:b w:val="0"/>
          <w:i w:val="0"/>
        </w:rPr>
        <w:t>No. The 18-team bracket is the centerpiece of a broader system covering conference championships, scheduling, rankings, roster timing, bowls, athlete protections, governance, and a complementary postseason.</w:t>
      </w:r>
    </w:p>
    <w:p>
      <w:pPr>
        <w:spacing w:before="0" w:after="40"/>
        <w:keepNext/>
        <w:keepLines/>
      </w:pPr>
      <w:r>
        <w:rPr>
          <w:rFonts w:ascii="Calibri" w:hAnsi="Calibri"/>
          <w:b/>
          <w:i w:val="0"/>
          <w:color w:val="1F4D78"/>
        </w:rPr>
        <w:t>Why 18 teams?</w:t>
      </w:r>
    </w:p>
    <w:p>
      <w:pPr>
        <w:spacing w:before="0" w:after="160"/>
      </w:pPr>
      <w:r>
        <w:rPr>
          <w:rFonts w:ascii="Calibri" w:hAnsi="Calibri"/>
          <w:b w:val="0"/>
          <w:i w:val="0"/>
        </w:rPr>
        <w:t>Eighteen creates two double-bye positions, eight single-bye positions, and eight opening-round positions while feeding a conventional eight-team quarterfinal. Every ranking band carries a distinct value.</w:t>
      </w:r>
    </w:p>
    <w:p>
      <w:pPr>
        <w:spacing w:before="0" w:after="40"/>
        <w:keepNext/>
        <w:keepLines/>
      </w:pPr>
      <w:r>
        <w:rPr>
          <w:rFonts w:ascii="Calibri" w:hAnsi="Calibri"/>
          <w:b/>
          <w:i w:val="0"/>
          <w:color w:val="1F4D78"/>
        </w:rPr>
        <w:t>Does every conference champion receive the same playoff benefit?</w:t>
      </w:r>
    </w:p>
    <w:p>
      <w:pPr>
        <w:spacing w:before="0" w:after="160"/>
      </w:pPr>
      <w:r>
        <w:rPr>
          <w:rFonts w:ascii="Calibri" w:hAnsi="Calibri"/>
          <w:b w:val="0"/>
          <w:i w:val="0"/>
        </w:rPr>
        <w:t>No. Access and benefit are separated. Designated Power Four champions receive access and at least a single bye; the highest-ranked eligible champion outside the Power Four receives access. Underlying ranking continues to govern path difficulty and reseeding.</w:t>
      </w:r>
    </w:p>
    <w:p>
      <w:pPr>
        <w:spacing w:before="0" w:after="40"/>
        <w:keepNext/>
        <w:keepLines/>
      </w:pPr>
      <w:r>
        <w:rPr>
          <w:rFonts w:ascii="Calibri" w:hAnsi="Calibri"/>
          <w:b/>
          <w:i w:val="0"/>
          <w:color w:val="1F4D78"/>
        </w:rPr>
        <w:t>Who may enter the National Tournament?</w:t>
      </w:r>
    </w:p>
    <w:p>
      <w:pPr>
        <w:spacing w:before="0" w:after="160"/>
      </w:pPr>
      <w:r>
        <w:rPr>
          <w:rFonts w:ascii="Calibri" w:hAnsi="Calibri"/>
          <w:b w:val="0"/>
          <w:i w:val="0"/>
        </w:rPr>
        <w:t>Only eligible FBS institutions outside the Power Four that are not selected for the CFP. No Power Four institution is eligible under any record, ranking, or conference-finish scenario.</w:t>
      </w:r>
    </w:p>
    <w:p>
      <w:pPr>
        <w:spacing w:before="0" w:after="40"/>
        <w:keepNext/>
        <w:keepLines/>
      </w:pPr>
      <w:r>
        <w:rPr>
          <w:rFonts w:ascii="Calibri" w:hAnsi="Calibri"/>
          <w:b/>
          <w:i w:val="0"/>
          <w:color w:val="1F4D78"/>
        </w:rPr>
        <w:t>Why not move an eliminated CFP team into the National Tournament?</w:t>
      </w:r>
    </w:p>
    <w:p>
      <w:pPr>
        <w:spacing w:before="0" w:after="160"/>
      </w:pPr>
      <w:r>
        <w:rPr>
          <w:rFonts w:ascii="Calibri" w:hAnsi="Calibri"/>
          <w:b w:val="0"/>
          <w:i w:val="0"/>
        </w:rPr>
        <w:t>Because the National Tournament field must be stable when announced. A transfer after a CFP loss would create unequal rest, disrupt hosting and opponents, and reduce the event to consolation status.</w:t>
      </w:r>
    </w:p>
    <w:p>
      <w:pPr>
        <w:spacing w:before="0" w:after="40"/>
        <w:keepNext/>
        <w:keepLines/>
      </w:pPr>
      <w:r>
        <w:rPr>
          <w:rFonts w:ascii="Calibri" w:hAnsi="Calibri"/>
          <w:b/>
          <w:i w:val="0"/>
          <w:color w:val="1F4D78"/>
        </w:rPr>
        <w:t>Is the National Tournament a lower subdivision?</w:t>
      </w:r>
    </w:p>
    <w:p>
      <w:pPr>
        <w:spacing w:before="0" w:after="160"/>
      </w:pPr>
      <w:r>
        <w:rPr>
          <w:rFonts w:ascii="Calibri" w:hAnsi="Calibri"/>
          <w:b w:val="0"/>
          <w:i w:val="0"/>
        </w:rPr>
        <w:t>No. All institutions remain within FBS. The event is a separate postseason objective, not a permanent classification of institutional value or a route that blocks CFP access.</w:t>
      </w:r>
    </w:p>
    <w:p>
      <w:pPr>
        <w:spacing w:before="0" w:after="40"/>
        <w:keepNext/>
        <w:keepLines/>
      </w:pPr>
      <w:r>
        <w:rPr>
          <w:rFonts w:ascii="Calibri" w:hAnsi="Calibri"/>
          <w:b/>
          <w:i w:val="0"/>
          <w:color w:val="1F4D78"/>
        </w:rPr>
        <w:t>Does the proposal eliminate bowls?</w:t>
      </w:r>
    </w:p>
    <w:p>
      <w:pPr>
        <w:spacing w:before="0" w:after="160"/>
      </w:pPr>
      <w:r>
        <w:rPr>
          <w:rFonts w:ascii="Calibri" w:hAnsi="Calibri"/>
          <w:b w:val="0"/>
          <w:i w:val="0"/>
        </w:rPr>
        <w:t>No. It gives bowls clearer roles: six premier bowls support the CFP, while a smaller group of traditional bowls offers voluntary destination games and operates early-season showcases.</w:t>
      </w:r>
    </w:p>
    <w:p>
      <w:pPr>
        <w:spacing w:before="0" w:after="40"/>
        <w:keepNext/>
        <w:keepLines/>
      </w:pPr>
      <w:r>
        <w:rPr>
          <w:rFonts w:ascii="Calibri" w:hAnsi="Calibri"/>
          <w:b/>
          <w:i w:val="0"/>
          <w:color w:val="1F4D78"/>
        </w:rPr>
        <w:t>Does a computer formula replace the committee?</w:t>
      </w:r>
    </w:p>
    <w:p>
      <w:pPr>
        <w:spacing w:before="0" w:after="160"/>
      </w:pPr>
      <w:r>
        <w:rPr>
          <w:rFonts w:ascii="Calibri" w:hAnsi="Calibri"/>
          <w:b w:val="0"/>
          <w:i w:val="0"/>
        </w:rPr>
        <w:t>No. NRR v0.48 supplies transparent résumé evidence and accountability through five public measures—30% Quality-Win Depth, 30% Schedule-Adjusted Record, 20% Loss Integrity, 15% Opponent-Adjusted Performance, and 5% Win Control. A committee still makes the final ranking but must explain material deviations from published objective ranges.</w:t>
      </w:r>
    </w:p>
    <w:p>
      <w:pPr>
        <w:spacing w:before="0" w:after="40"/>
        <w:keepNext/>
        <w:keepLines/>
      </w:pPr>
      <w:r>
        <w:rPr>
          <w:rFonts w:ascii="Calibri" w:hAnsi="Calibri"/>
          <w:b/>
          <w:i w:val="0"/>
          <w:color w:val="1F4D78"/>
        </w:rPr>
        <w:t>Why address transfers, signing, and coaching movement?</w:t>
      </w:r>
    </w:p>
    <w:p>
      <w:pPr>
        <w:spacing w:before="0" w:after="160"/>
      </w:pPr>
      <w:r>
        <w:rPr>
          <w:rFonts w:ascii="Calibri" w:hAnsi="Calibri"/>
          <w:b w:val="0"/>
          <w:i w:val="0"/>
        </w:rPr>
        <w:t>Because championship football should occur during a protected football season. Roster construction and the coaching market should begin after the national championship, subject to lawful exceptions and negotiated rights.</w:t>
      </w:r>
    </w:p>
    <w:p>
      <w:pPr>
        <w:spacing w:before="0" w:after="40"/>
        <w:keepNext/>
        <w:keepLines/>
      </w:pPr>
      <w:r>
        <w:rPr>
          <w:rFonts w:ascii="Calibri" w:hAnsi="Calibri"/>
          <w:b/>
          <w:i w:val="0"/>
          <w:color w:val="1F4D78"/>
        </w:rPr>
        <w:t>Is the proposal ready for immediate adoption?</w:t>
      </w:r>
    </w:p>
    <w:p>
      <w:pPr>
        <w:spacing w:before="0" w:after="160"/>
      </w:pPr>
      <w:r>
        <w:rPr>
          <w:rFonts w:ascii="Calibri" w:hAnsi="Calibri"/>
          <w:b w:val="0"/>
          <w:i w:val="0"/>
        </w:rPr>
        <w:t>No. It is ready for formal testing. Historical backtesting, athlete-welfare review, legal and labor analysis, commercial modeling, host audits, and stakeholder negotiation must precede launch.</w:t>
      </w:r>
    </w:p>
    <w:p>
      <w:pPr>
        <w:pStyle w:val="Heading1"/>
        <w:keepNext/>
        <w:keepLines/>
      </w:pPr>
      <w:r>
        <w:t>4. Adaptable social copy</w:t>
      </w:r>
    </w:p>
    <w:p>
      <w:pPr>
        <w:pStyle w:val="Heading2"/>
        <w:keepNext/>
        <w:keepLines/>
      </w:pPr>
      <w:r>
        <w:t>4.1 Short post</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POST  </w:t>
      </w:r>
      <w:r>
        <w:rPr>
          <w:rFonts w:ascii="Calibri" w:hAnsi="Calibri"/>
          <w:color w:val="0B2545"/>
          <w:sz w:val="21"/>
        </w:rPr>
        <w:t>College football can broaden meaningful access without sacrificing its regular season. My proposal: an 18-team CFP, protected conference titles, transparent rankings, a real postseason for non-Power Four FBS programs, and a football season protected from roster chaos. Keep the traditions. Fix the incentives.</w:t>
      </w:r>
    </w:p>
    <w:p>
      <w:pPr>
        <w:pStyle w:val="Heading2"/>
        <w:keepNext/>
        <w:keepLines/>
      </w:pPr>
      <w:r>
        <w:t>4.2 Medium post</w:t>
      </w:r>
    </w:p>
    <w:p>
      <w:pPr>
        <w:spacing w:before="0"/>
      </w:pPr>
      <w:r>
        <w:rPr>
          <w:rFonts w:ascii="Calibri" w:hAnsi="Calibri"/>
          <w:b w:val="0"/>
          <w:i w:val="0"/>
        </w:rPr>
        <w:t>I’ve developed an integrated proposal for FBS competition reform. The idea is bigger than playoff expansion: an 18-team CFP with meaningful benefit tiers; conference-title protection; transparent résumé rankings; a distinct 16-team National Tournament exclusively for eligible non-Power Four FBS institutions; a protected roster calendar; stronger scheduling incentives; and a rebuilt bowl role. I wrote the proposal and used AI as a disclosed research, drafting, editing, modeling, and production assistant. I’m sharing the full package because the tradeoffs deserve public testing and debate.</w:t>
      </w:r>
    </w:p>
    <w:p>
      <w:pPr>
        <w:pStyle w:val="Heading2"/>
        <w:keepNext/>
        <w:keepLines/>
      </w:pPr>
      <w:r>
        <w:t>4.3 Suggested discussion thread</w:t>
      </w:r>
    </w:p>
    <w:p>
      <w:pPr>
        <w:numPr>
          <w:ilvl w:val="0"/>
          <w:numId w:val="11"/>
        </w:numPr>
        <w:keepLines/>
      </w:pPr>
      <w:r>
        <w:rPr>
          <w:rFonts w:ascii="Calibri" w:hAnsi="Calibri"/>
        </w:rPr>
        <w:t>The central problem is not the playoff size alone. College football’s postseason, conference titles, rankings, schedules, bowls, and roster calendar currently pull in different directions.</w:t>
      </w:r>
    </w:p>
    <w:p>
      <w:pPr>
        <w:numPr>
          <w:ilvl w:val="0"/>
          <w:numId w:val="11"/>
        </w:numPr>
        <w:keepLines/>
      </w:pPr>
      <w:r>
        <w:rPr>
          <w:rFonts w:ascii="Calibri" w:hAnsi="Calibri"/>
        </w:rPr>
        <w:t>An 18-team CFP can create distinct value at every level: two double byes, eight single byes, four campus opening-round hosts, and four road entrants.</w:t>
      </w:r>
    </w:p>
    <w:p>
      <w:pPr>
        <w:numPr>
          <w:ilvl w:val="0"/>
          <w:numId w:val="11"/>
        </w:numPr>
        <w:keepLines/>
      </w:pPr>
      <w:r>
        <w:rPr>
          <w:rFonts w:ascii="Calibri" w:hAnsi="Calibri"/>
        </w:rPr>
        <w:t>Conference-title participants should not lose an earned benefit solely because their conference required an extra game. Protection must be real but bounded by fixed bracket capacity.</w:t>
      </w:r>
    </w:p>
    <w:p>
      <w:pPr>
        <w:numPr>
          <w:ilvl w:val="0"/>
          <w:numId w:val="11"/>
        </w:numPr>
        <w:keepLines/>
      </w:pPr>
      <w:r>
        <w:rPr>
          <w:rFonts w:ascii="Calibri" w:hAnsi="Calibri"/>
        </w:rPr>
        <w:t>Eligible FBS institutions outside the Power Four need a meaningful postseason objective. The proposed 16-team National Tournament excludes every Power Four institution and remains separate from the CFP.</w:t>
      </w:r>
    </w:p>
    <w:p>
      <w:pPr>
        <w:numPr>
          <w:ilvl w:val="0"/>
          <w:numId w:val="11"/>
        </w:numPr>
        <w:keepLines/>
      </w:pPr>
      <w:r>
        <w:rPr>
          <w:rFonts w:ascii="Calibri" w:hAnsi="Calibri"/>
        </w:rPr>
        <w:t>No team should fall from the CFP into the National Tournament after a loss. Stable fields, equal rest, and the tournament’s independent identity matter more than repairing one disappointing result.</w:t>
      </w:r>
    </w:p>
    <w:p>
      <w:pPr>
        <w:numPr>
          <w:ilvl w:val="0"/>
          <w:numId w:val="11"/>
        </w:numPr>
        <w:keepLines/>
      </w:pPr>
      <w:r>
        <w:rPr>
          <w:rFonts w:ascii="Calibri" w:hAnsi="Calibri"/>
        </w:rPr>
        <w:t>The regular season improves when difficult scheduling, road performance, and conference championships are rewarded through transparent résumé evidence.</w:t>
      </w:r>
    </w:p>
    <w:p>
      <w:pPr>
        <w:numPr>
          <w:ilvl w:val="0"/>
          <w:numId w:val="11"/>
        </w:numPr>
        <w:keepLines/>
      </w:pPr>
      <w:r>
        <w:rPr>
          <w:rFonts w:ascii="Calibri" w:hAnsi="Calibri"/>
        </w:rPr>
        <w:t>The championship season should be protected from general transfer, formal signing, and head-coaching movement. Football season should be for football.</w:t>
      </w:r>
    </w:p>
    <w:p>
      <w:pPr>
        <w:numPr>
          <w:ilvl w:val="0"/>
          <w:numId w:val="11"/>
        </w:numPr>
        <w:keepLines/>
      </w:pPr>
      <w:r>
        <w:rPr>
          <w:rFonts w:ascii="Calibri" w:hAnsi="Calibri"/>
        </w:rPr>
        <w:t>This is a framework for testing, not a finished decree. The package identifies the historical, financial, legal, medical, labor, and governance work still required.</w:t>
      </w:r>
    </w:p>
    <w:p>
      <w:pPr>
        <w:pStyle w:val="Heading1"/>
        <w:keepNext/>
        <w:keepLines/>
      </w:pPr>
      <w:r>
        <w:t>5. Public discussion standards</w:t>
      </w:r>
    </w:p>
    <w:p>
      <w:pPr>
        <w:numPr>
          <w:ilvl w:val="0"/>
          <w:numId w:val="10"/>
        </w:numPr>
        <w:keepLines/>
      </w:pPr>
      <w:r>
        <w:rPr>
          <w:rFonts w:ascii="Calibri" w:hAnsi="Calibri"/>
        </w:rPr>
        <w:t>Describe the proposal as Alec Levine’s independent policy opinion; do not imply endorsement by the NCAA, CFP, any conference, institution, athlete, or rights holder.</w:t>
      </w:r>
    </w:p>
    <w:p>
      <w:pPr>
        <w:numPr>
          <w:ilvl w:val="0"/>
          <w:numId w:val="10"/>
        </w:numPr>
        <w:keepLines/>
      </w:pPr>
      <w:r>
        <w:rPr>
          <w:rFonts w:ascii="Calibri" w:hAnsi="Calibri"/>
        </w:rPr>
        <w:t>Use the authorship and AI-assistance disclosure consistently. Do not describe AI as the author or conceal its role in research, drafting, editing, modeling, and production.</w:t>
      </w:r>
    </w:p>
    <w:p>
      <w:pPr>
        <w:numPr>
          <w:ilvl w:val="0"/>
          <w:numId w:val="10"/>
        </w:numPr>
        <w:keepLines/>
      </w:pPr>
      <w:r>
        <w:rPr>
          <w:rFonts w:ascii="Calibri" w:hAnsi="Calibri"/>
        </w:rPr>
        <w:t>Separate proposed rules from current rules, and separate planning assumptions from verified historical or commercial results.</w:t>
      </w:r>
    </w:p>
    <w:p>
      <w:pPr>
        <w:numPr>
          <w:ilvl w:val="0"/>
          <w:numId w:val="10"/>
        </w:numPr>
        <w:keepLines/>
      </w:pPr>
      <w:r>
        <w:rPr>
          <w:rFonts w:ascii="Calibri" w:hAnsi="Calibri"/>
        </w:rPr>
        <w:t>Invite criticism of the tradeoffs and publish material corrections or version changes rather than silently revising disputed claims.</w:t>
      </w:r>
    </w:p>
    <w:p>
      <w:pPr>
        <w:numPr>
          <w:ilvl w:val="0"/>
          <w:numId w:val="10"/>
        </w:numPr>
        <w:keepLines/>
      </w:pPr>
      <w:r>
        <w:rPr>
          <w:rFonts w:ascii="Calibri" w:hAnsi="Calibri"/>
        </w:rPr>
        <w:t>Avoid institution-specific advocacy in the governing rules. Use durable categories such as Power Four conference, eligible non-Power Four institution, and independent institution.</w:t>
      </w:r>
    </w:p>
    <w:p>
      <w:pPr>
        <w:pStyle w:val="Heading1"/>
        <w:keepNext/>
        <w:keepLines/>
      </w:pPr>
      <w:r>
        <w:t>6. Recommended publication package</w:t>
      </w:r>
    </w:p>
    <w:tbl>
      <w:tblPr>
        <w:tblW w:type="dxa" w:w="9360"/>
        <w:jc w:val="left"/>
        <w:tblLayout w:type="fixed"/>
        <w:tblLook w:firstColumn="1" w:firstRow="1" w:lastColumn="0" w:lastRow="0" w:noHBand="0" w:noVBand="1" w:val="04A0"/>
        <w:tblInd w:type="dxa" w:w="120"/>
      </w:tblPr>
      <w:tblGrid>
        <w:gridCol w:w="2000"/>
        <w:gridCol w:w="3660"/>
        <w:gridCol w:w="3700"/>
      </w:tblGrid>
      <w:tr>
        <w:trPr>
          <w:trHeight w:hRule="auto"/>
          <w:tblHeader/>
          <w:cantSplit/>
          <w:cantSplit/>
        </w:trPr>
        <w:tc>
          <w:tcPr>
            <w:tcW w:type="dxa" w:w="20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Public item</w:t>
            </w:r>
          </w:p>
        </w:tc>
        <w:tc>
          <w:tcPr>
            <w:tcW w:type="dxa" w:w="36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Purpose</w:t>
            </w:r>
          </w:p>
        </w:tc>
        <w:tc>
          <w:tcPr>
            <w:tcW w:type="dxa" w:w="37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Publication treatment</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Explainer website</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Make the core proposal understandable and shareable</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Lead with principles and diagrams; link complete documents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Main proposal</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Provide the complete normative policy</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Publish as the controlling written proposal with version date</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Companion briefs</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Show implementation, economics, and athlete-rights work</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Publish separately so technical caveats remain visible</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Feasibility workbook</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Allow independent testing and replacement of assumptions</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Label incomplete inputs and placeholder commercial values prominently</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Public statement and FAQ</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Support interviews, posts, and outreach</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Adapt wording by audience without changing policy substance</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Version and correction log</w:t>
            </w:r>
          </w:p>
        </w:tc>
        <w:tc>
          <w:tcPr>
            <w:tcW w:type="dxa" w:w="36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Build trust as evidence develops</w:t>
            </w:r>
          </w:p>
        </w:tc>
        <w:tc>
          <w:tcPr>
            <w:tcW w:type="dxa" w:w="3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Date every substantive change and explain its reason</w:t>
            </w:r>
          </w:p>
        </w:tc>
      </w:tr>
    </w:tbl>
    <w:p>
      <w:pPr>
        <w:spacing w:before="0" w:after="40"/>
      </w:pPr>
    </w:p>
    <w:p>
      <w:pPr>
        <w:spacing w:before="200" w:after="0"/>
      </w:pPr>
      <w:r>
        <w:rPr>
          <w:rFonts w:ascii="Calibri" w:hAnsi="Calibri"/>
          <w:b w:val="0"/>
          <w:i/>
          <w:color w:val="5D6672"/>
          <w:sz w:val="17"/>
        </w:rPr>
        <w:t>End of kit.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2"/>
        <w:sz w:val="18"/>
      </w:rPr>
      <w:t xml:space="preserve">INTEGRATED FBS REFORM · </w:t>
    </w:r>
    <w:r>
      <w:rPr>
        <w:rFonts w:ascii="Calibri" w:hAnsi="Calibri"/>
        <w:color w:val="5D6672"/>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5D6672"/>
        <w:sz w:val="17"/>
      </w:rPr>
      <w:t>PUBLIC COMMUNICATION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pPr>
        <w:tabs>
          <w:tab w:val="num" w:pos="720"/>
        </w:tabs>
        <w:ind w:left="720" w:hanging="360"/>
        <w:spacing w:after="160" w:line="280" w:lineRule="auto"/>
      </w:pPr>
    </w:lvl>
  </w:abstractNum>
  <w:num w:numId="10">
    <w:abstractNumId w:val="9"/>
  </w:num>
  <w:abstractNum w:abstractNumId="10">
    <w:multiLevelType w:val="singleLevel"/>
    <w:lvl w:ilvl="0">
      <w:start w:val="1"/>
      <w:numFmt w:val="decimal"/>
      <w:lvlText w:val="%1."/>
      <w:pPr>
        <w:tabs>
          <w:tab w:val="num" w:pos="720"/>
        </w:tabs>
        <w:ind w:left="720" w:hanging="360"/>
        <w:spacing w:after="16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b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before="0" w:after="200" w:line="288" w:lineRule="auto"/>
    </w:pPr>
    <w:rPr>
      <w:rFonts w:ascii="Calibri" w:hAnsi="Calibri"/>
      <w:b w:val="0"/>
      <w:color w:val="0B2545"/>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FBS Reform Public Communication and Advocacy Kit</dc:title>
  <dc:subject>Public statement, stakeholder submission note, FAQ, and adaptable social copy</dc:subject>
  <dc:creator>Alec Levine</dc:creator>
  <cp:keywords/>
  <dc:description>Reviewed against the Better College Football website on August 29, 2026. The website is the current primary version; this file is an offline backup reference.</dc:description>
  <cp:lastModifiedBy>Alec Levine</cp:lastModifiedBy>
  <cp:revision>20260829</cp:revision>
  <dcterms:created xsi:type="dcterms:W3CDTF">2013-12-23T23:15:00Z</dcterms:created>
  <dcterms:modified xsi:type="dcterms:W3CDTF">2026-08-29T12:00:00Z</dcterms:modified>
  <cp:category/>
</cp:coreProperties>
</file>