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560" w:after="360"/>
        <w:jc w:val="center"/>
      </w:pPr>
      <w:r>
        <w:rPr>
          <w:rFonts w:ascii="Calibri" w:hAnsi="Calibri"/>
          <w:b/>
          <w:i w:val="0"/>
          <w:color w:val="5D6672"/>
          <w:sz w:val="21"/>
        </w:rPr>
        <w:t>PROPOSAL FOR FBS COMPETITION AND POSTSEASON REFORM</w:t>
      </w:r>
    </w:p>
    <w:p>
      <w:pPr>
        <w:spacing w:before="0" w:after="120"/>
        <w:jc w:val="center"/>
        <w:keepNext/>
        <w:keepLines/>
      </w:pPr>
      <w:r>
        <w:rPr>
          <w:rFonts w:ascii="Calibri" w:hAnsi="Calibri"/>
          <w:b/>
          <w:i w:val="0"/>
          <w:color w:val="0B2545"/>
          <w:sz w:val="54"/>
        </w:rPr>
        <w:t>INTEGRATED FBS COMPETITION REFORM</w:t>
      </w:r>
    </w:p>
    <w:p>
      <w:pPr>
        <w:spacing w:before="0" w:after="240"/>
        <w:jc w:val="center"/>
        <w:keepNext/>
        <w:keepLines/>
      </w:pPr>
      <w:r>
        <w:rPr>
          <w:rFonts w:ascii="Calibri" w:hAnsi="Calibri"/>
          <w:b w:val="0"/>
          <w:i w:val="0"/>
          <w:color w:val="1F4D78"/>
          <w:sz w:val="28"/>
        </w:rPr>
        <w:t>An Integrated Proposal for an 18-Team Playoff, Meaningful Conference Championships, Calendar and Ranking Reform, and a Distinct Postseason Path for Institutions Outside the Power Four</w:t>
      </w:r>
    </w:p>
    <w:p>
      <w:pPr>
        <w:spacing w:before="0" w:after="480"/>
        <w:jc w:val="center"/>
      </w:pPr>
      <w:r>
        <w:rPr>
          <w:rFonts w:ascii="Calibri" w:hAnsi="Calibri"/>
          <w:b w:val="0"/>
          <w:i/>
          <w:color w:val="5D6672"/>
          <w:sz w:val="21"/>
        </w:rPr>
        <w:t>A single-system redesign of the FBS season, postseason, roster calendar, and governance incentives</w:t>
      </w:r>
    </w:p>
    <w:p>
      <w:pPr>
        <w:spacing w:before="120" w:after="200" w:line="288" w:lineRule="auto"/>
        <w:ind w:left="259" w:right="115"/>
        <w:shd w:fill="E8EEF5"/>
        <w:pBdr>
          <w:left w:val="single" w:sz="18" w:space="6" w:color="1F4D78"/>
        </w:pBdr>
        <w:keepLines/>
      </w:pPr>
      <w:r>
        <w:rPr>
          <w:rFonts w:ascii="Calibri" w:hAnsi="Calibri"/>
          <w:b/>
          <w:color w:val="1F4D78"/>
          <w:sz w:val="20"/>
        </w:rPr>
        <w:t xml:space="preserve">GOVERNING PRINCIPLE  </w:t>
      </w:r>
      <w:r>
        <w:rPr>
          <w:rFonts w:ascii="Calibri" w:hAnsi="Calibri"/>
          <w:color w:val="0B2545"/>
          <w:sz w:val="21"/>
        </w:rPr>
        <w:t>Keep the traditions. Standardize the incentives. Preserve conferences, rivalries, campuses, bands, student sections, and regional identity while removing the rules that reward weak schedules, punish extra competition, or force roster chaos into championship season.</w:t>
      </w:r>
    </w:p>
    <w:tbl>
      <w:tblPr>
        <w:tblW w:type="dxa" w:w="9360"/>
        <w:jc w:val="left"/>
        <w:tblLayout w:type="fixed"/>
        <w:tblLook w:firstColumn="1" w:firstRow="1" w:lastColumn="0" w:lastRow="0" w:noHBand="0" w:noVBand="1" w:val="04A0"/>
        <w:tblInd w:type="dxa" w:w="120"/>
      </w:tblPr>
      <w:tblGrid>
        <w:gridCol w:w="1100"/>
        <w:gridCol w:w="3050"/>
        <w:gridCol w:w="1100"/>
        <w:gridCol w:w="4110"/>
      </w:tblGrid>
      <w:tr>
        <w:trPr>
          <w:cantSplit w:val="true"/>
          <w:trHeight w:hRule="auto"/>
          <w:tblHeader w:val="true"/>
        </w:trPr>
        <w:tc>
          <w:tcPr>
            <w:tcW w:type="dxa" w:w="1100"/>
            <w:vAlign w:val="center"/>
            <w:tcBorders>
              <w:top w:val="single" w:sz="4" w:space="0" w:color="D9E0E7"/>
              <w:left w:val="single" w:sz="4" w:space="0" w:color="D9E0E7"/>
              <w:bottom w:val="single" w:sz="4" w:space="0" w:color="D9E0E7"/>
              <w:right w:val="single" w:sz="4" w:space="0" w:color="D9E0E7"/>
              <w:insideH w:val="single" w:sz="4" w:space="0" w:color="D9E0E7"/>
              <w:insideV w:val="single" w:sz="4" w:space="0" w:color="D9E0E7"/>
            </w:tcBorders>
            <w:shd w:fill="F4F6F9"/>
            <w:tcMar>
              <w:top w:w="80" w:type="dxa"/>
              <w:bottom w:w="80" w:type="dxa"/>
              <w:start w:w="120" w:type="dxa"/>
              <w:end w:w="120" w:type="dxa"/>
            </w:tcMar>
          </w:tcPr>
          <w:p>
            <w:pPr>
              <w:spacing w:before="0" w:after="0"/>
              <w:keepLines/>
            </w:pPr>
            <w:r>
              <w:rPr>
                <w:rFonts w:ascii="Calibri" w:hAnsi="Calibri"/>
                <w:b/>
                <w:color w:val="0B2545"/>
                <w:sz w:val="18"/>
              </w:rPr>
              <w:t>Audience</w:t>
            </w:r>
          </w:p>
        </w:tc>
        <w:tc>
          <w:tcPr>
            <w:tcW w:type="dxa" w:w="3050"/>
            <w:vAlign w:val="center"/>
            <w:tcBorders>
              <w:top w:val="single" w:sz="4" w:space="0" w:color="D9E0E7"/>
              <w:left w:val="single" w:sz="4" w:space="0" w:color="D9E0E7"/>
              <w:bottom w:val="single" w:sz="4" w:space="0" w:color="D9E0E7"/>
              <w:right w:val="single" w:sz="4" w:space="0" w:color="D9E0E7"/>
              <w:insideH w:val="single" w:sz="4" w:space="0" w:color="D9E0E7"/>
              <w:insideV w:val="single" w:sz="4" w:space="0" w:color="D9E0E7"/>
            </w:tcBorders>
            <w:tcMar>
              <w:top w:w="80" w:type="dxa"/>
              <w:bottom w:w="80" w:type="dxa"/>
              <w:start w:w="120" w:type="dxa"/>
              <w:end w:w="120" w:type="dxa"/>
            </w:tcMar>
          </w:tcPr>
          <w:p>
            <w:pPr>
              <w:spacing w:before="0" w:after="0"/>
              <w:keepLines/>
            </w:pPr>
            <w:r>
              <w:rPr>
                <w:rFonts w:ascii="Calibri" w:hAnsi="Calibri"/>
                <w:b w:val="0"/>
                <w:color w:val="313A44"/>
                <w:sz w:val="18"/>
              </w:rPr>
              <w:t>CFP, NCAA, FBS conferences</w:t>
            </w:r>
          </w:p>
        </w:tc>
        <w:tc>
          <w:tcPr>
            <w:tcW w:type="dxa" w:w="1100"/>
            <w:vAlign w:val="center"/>
            <w:tcBorders>
              <w:top w:val="single" w:sz="4" w:space="0" w:color="D9E0E7"/>
              <w:left w:val="single" w:sz="4" w:space="0" w:color="D9E0E7"/>
              <w:bottom w:val="single" w:sz="4" w:space="0" w:color="D9E0E7"/>
              <w:right w:val="single" w:sz="4" w:space="0" w:color="D9E0E7"/>
              <w:insideH w:val="single" w:sz="4" w:space="0" w:color="D9E0E7"/>
              <w:insideV w:val="single" w:sz="4" w:space="0" w:color="D9E0E7"/>
            </w:tcBorders>
            <w:shd w:fill="F4F6F9"/>
            <w:tcMar>
              <w:top w:w="80" w:type="dxa"/>
              <w:bottom w:w="80" w:type="dxa"/>
              <w:start w:w="120" w:type="dxa"/>
              <w:end w:w="120" w:type="dxa"/>
            </w:tcMar>
          </w:tcPr>
          <w:p>
            <w:pPr>
              <w:spacing w:before="0" w:after="0"/>
              <w:keepLines/>
            </w:pPr>
            <w:r>
              <w:rPr>
                <w:rFonts w:ascii="Calibri" w:hAnsi="Calibri"/>
                <w:b/>
                <w:color w:val="0B2545"/>
                <w:sz w:val="18"/>
              </w:rPr>
              <w:t>Status</w:t>
            </w:r>
          </w:p>
        </w:tc>
        <w:tc>
          <w:tcPr>
            <w:tcW w:type="dxa" w:w="4110"/>
            <w:vAlign w:val="center"/>
            <w:tcBorders>
              <w:top w:val="single" w:sz="4" w:space="0" w:color="D9E0E7"/>
              <w:left w:val="single" w:sz="4" w:space="0" w:color="D9E0E7"/>
              <w:bottom w:val="single" w:sz="4" w:space="0" w:color="D9E0E7"/>
              <w:right w:val="single" w:sz="4" w:space="0" w:color="D9E0E7"/>
              <w:insideH w:val="single" w:sz="4" w:space="0" w:color="D9E0E7"/>
              <w:insideV w:val="single" w:sz="4" w:space="0" w:color="D9E0E7"/>
            </w:tcBorders>
            <w:tcMar>
              <w:top w:w="80" w:type="dxa"/>
              <w:bottom w:w="80" w:type="dxa"/>
              <w:start w:w="120" w:type="dxa"/>
              <w:end w:w="120" w:type="dxa"/>
            </w:tcMar>
          </w:tcPr>
          <w:p>
            <w:pPr>
              <w:spacing w:before="0" w:after="0"/>
              <w:keepLines/>
            </w:pPr>
            <w:r>
              <w:rPr>
                <w:rFonts w:ascii="Calibri" w:hAnsi="Calibri"/>
                <w:b w:val="0"/>
                <w:color w:val="313A44"/>
                <w:sz w:val="18"/>
              </w:rPr>
              <w:t>Policy proposal for stakeholder review</w:t>
            </w:r>
          </w:p>
        </w:tc>
      </w:tr>
      <w:tr>
        <w:trPr>
          <w:cantSplit w:val="true"/>
          <w:trHeight w:hRule="auto"/>
        </w:trPr>
        <w:tc>
          <w:tcPr>
            <w:tcW w:type="dxa" w:w="1100"/>
            <w:vAlign w:val="center"/>
            <w:tcBorders>
              <w:top w:val="single" w:sz="4" w:space="0" w:color="D9E0E7"/>
              <w:left w:val="single" w:sz="4" w:space="0" w:color="D9E0E7"/>
              <w:bottom w:val="single" w:sz="4" w:space="0" w:color="D9E0E7"/>
              <w:right w:val="single" w:sz="4" w:space="0" w:color="D9E0E7"/>
              <w:insideH w:val="single" w:sz="4" w:space="0" w:color="D9E0E7"/>
              <w:insideV w:val="single" w:sz="4" w:space="0" w:color="D9E0E7"/>
            </w:tcBorders>
            <w:shd w:fill="F4F6F9"/>
            <w:tcMar>
              <w:top w:w="80" w:type="dxa"/>
              <w:bottom w:w="80" w:type="dxa"/>
              <w:start w:w="120" w:type="dxa"/>
              <w:end w:w="120" w:type="dxa"/>
            </w:tcMar>
          </w:tcPr>
          <w:p>
            <w:pPr>
              <w:spacing w:before="0" w:after="0"/>
              <w:keepLines/>
            </w:pPr>
            <w:r>
              <w:rPr>
                <w:rFonts w:ascii="Calibri" w:hAnsi="Calibri"/>
                <w:b/>
                <w:color w:val="0B2545"/>
                <w:sz w:val="18"/>
              </w:rPr>
              <w:t>Author</w:t>
            </w:r>
          </w:p>
        </w:tc>
        <w:tc>
          <w:tcPr>
            <w:tcW w:type="dxa" w:w="3050"/>
            <w:vAlign w:val="center"/>
            <w:tcBorders>
              <w:top w:val="single" w:sz="4" w:space="0" w:color="D9E0E7"/>
              <w:left w:val="single" w:sz="4" w:space="0" w:color="D9E0E7"/>
              <w:bottom w:val="single" w:sz="4" w:space="0" w:color="D9E0E7"/>
              <w:right w:val="single" w:sz="4" w:space="0" w:color="D9E0E7"/>
              <w:insideH w:val="single" w:sz="4" w:space="0" w:color="D9E0E7"/>
              <w:insideV w:val="single" w:sz="4" w:space="0" w:color="D9E0E7"/>
            </w:tcBorders>
            <w:tcMar>
              <w:top w:w="80" w:type="dxa"/>
              <w:bottom w:w="80" w:type="dxa"/>
              <w:start w:w="120" w:type="dxa"/>
              <w:end w:w="120" w:type="dxa"/>
            </w:tcMar>
          </w:tcPr>
          <w:p>
            <w:pPr>
              <w:spacing w:before="0" w:after="0"/>
              <w:keepLines/>
            </w:pPr>
            <w:r>
              <w:rPr>
                <w:rFonts w:ascii="Calibri" w:hAnsi="Calibri"/>
                <w:b w:val="0"/>
                <w:color w:val="313A44"/>
                <w:sz w:val="18"/>
              </w:rPr>
              <w:t>Alec Levine</w:t>
            </w:r>
          </w:p>
        </w:tc>
        <w:tc>
          <w:tcPr>
            <w:tcW w:type="dxa" w:w="1100"/>
            <w:vAlign w:val="center"/>
            <w:tcBorders>
              <w:top w:val="single" w:sz="4" w:space="0" w:color="D9E0E7"/>
              <w:left w:val="single" w:sz="4" w:space="0" w:color="D9E0E7"/>
              <w:bottom w:val="single" w:sz="4" w:space="0" w:color="D9E0E7"/>
              <w:right w:val="single" w:sz="4" w:space="0" w:color="D9E0E7"/>
              <w:insideH w:val="single" w:sz="4" w:space="0" w:color="D9E0E7"/>
              <w:insideV w:val="single" w:sz="4" w:space="0" w:color="D9E0E7"/>
            </w:tcBorders>
            <w:shd w:fill="F4F6F9"/>
            <w:tcMar>
              <w:top w:w="80" w:type="dxa"/>
              <w:bottom w:w="80" w:type="dxa"/>
              <w:start w:w="120" w:type="dxa"/>
              <w:end w:w="120" w:type="dxa"/>
            </w:tcMar>
          </w:tcPr>
          <w:p>
            <w:pPr>
              <w:spacing w:before="0" w:after="0"/>
              <w:keepLines/>
            </w:pPr>
            <w:r>
              <w:rPr>
                <w:rFonts w:ascii="Calibri" w:hAnsi="Calibri"/>
                <w:b/>
                <w:color w:val="0B2545"/>
                <w:sz w:val="18"/>
              </w:rPr>
              <w:t>Assistance</w:t>
            </w:r>
          </w:p>
        </w:tc>
        <w:tc>
          <w:tcPr>
            <w:tcW w:type="dxa" w:w="4110"/>
            <w:vAlign w:val="center"/>
            <w:tcBorders>
              <w:top w:val="single" w:sz="4" w:space="0" w:color="D9E0E7"/>
              <w:left w:val="single" w:sz="4" w:space="0" w:color="D9E0E7"/>
              <w:bottom w:val="single" w:sz="4" w:space="0" w:color="D9E0E7"/>
              <w:right w:val="single" w:sz="4" w:space="0" w:color="D9E0E7"/>
              <w:insideH w:val="single" w:sz="4" w:space="0" w:color="D9E0E7"/>
              <w:insideV w:val="single" w:sz="4" w:space="0" w:color="D9E0E7"/>
            </w:tcBorders>
            <w:tcMar>
              <w:top w:w="80" w:type="dxa"/>
              <w:bottom w:w="80" w:type="dxa"/>
              <w:start w:w="120" w:type="dxa"/>
              <w:end w:w="120" w:type="dxa"/>
            </w:tcMar>
          </w:tcPr>
          <w:p>
            <w:pPr>
              <w:spacing w:before="0" w:after="0"/>
              <w:keepLines/>
            </w:pPr>
            <w:r>
              <w:rPr>
                <w:rFonts w:ascii="Calibri" w:hAnsi="Calibri"/>
                <w:b w:val="0"/>
                <w:color w:val="313A44"/>
                <w:sz w:val="18"/>
              </w:rPr>
              <w:t>Developed with AI-assisted research, drafting, editing, and document production</w:t>
            </w:r>
          </w:p>
        </w:tc>
      </w:tr>
      <w:tr>
        <w:trPr>
          <w:cantSplit w:val="true"/>
          <w:trHeight w:hRule="auto"/>
        </w:trPr>
        <w:tc>
          <w:tcPr>
            <w:tcW w:type="dxa" w:w="1100"/>
            <w:vAlign w:val="center"/>
            <w:tcBorders>
              <w:top w:val="single" w:sz="4" w:space="0" w:color="D9E0E7"/>
              <w:left w:val="single" w:sz="4" w:space="0" w:color="D9E0E7"/>
              <w:bottom w:val="single" w:sz="4" w:space="0" w:color="D9E0E7"/>
              <w:right w:val="single" w:sz="4" w:space="0" w:color="D9E0E7"/>
              <w:insideH w:val="single" w:sz="4" w:space="0" w:color="D9E0E7"/>
              <w:insideV w:val="single" w:sz="4" w:space="0" w:color="D9E0E7"/>
            </w:tcBorders>
            <w:shd w:fill="F4F6F9"/>
            <w:tcMar>
              <w:top w:w="80" w:type="dxa"/>
              <w:bottom w:w="80" w:type="dxa"/>
              <w:start w:w="120" w:type="dxa"/>
              <w:end w:w="120" w:type="dxa"/>
            </w:tcMar>
          </w:tcPr>
          <w:p>
            <w:pPr>
              <w:spacing w:before="0" w:after="0"/>
              <w:keepLines/>
            </w:pPr>
            <w:r>
              <w:rPr>
                <w:rFonts w:ascii="Calibri" w:hAnsi="Calibri"/>
                <w:b/>
                <w:color w:val="0B2545"/>
                <w:sz w:val="18"/>
              </w:rPr>
              <w:t>Scope</w:t>
            </w:r>
          </w:p>
        </w:tc>
        <w:tc>
          <w:tcPr>
            <w:tcW w:type="dxa" w:w="3050"/>
            <w:vAlign w:val="center"/>
            <w:tcBorders>
              <w:top w:val="single" w:sz="4" w:space="0" w:color="D9E0E7"/>
              <w:left w:val="single" w:sz="4" w:space="0" w:color="D9E0E7"/>
              <w:bottom w:val="single" w:sz="4" w:space="0" w:color="D9E0E7"/>
              <w:right w:val="single" w:sz="4" w:space="0" w:color="D9E0E7"/>
              <w:insideH w:val="single" w:sz="4" w:space="0" w:color="D9E0E7"/>
              <w:insideV w:val="single" w:sz="4" w:space="0" w:color="D9E0E7"/>
            </w:tcBorders>
            <w:tcMar>
              <w:top w:w="80" w:type="dxa"/>
              <w:bottom w:w="80" w:type="dxa"/>
              <w:start w:w="120" w:type="dxa"/>
              <w:end w:w="120" w:type="dxa"/>
            </w:tcMar>
          </w:tcPr>
          <w:p>
            <w:pPr>
              <w:spacing w:before="0" w:after="0"/>
              <w:keepLines/>
            </w:pPr>
            <w:r>
              <w:rPr>
                <w:rFonts w:ascii="Calibri" w:hAnsi="Calibri"/>
                <w:b w:val="0"/>
                <w:color w:val="313A44"/>
                <w:sz w:val="18"/>
              </w:rPr>
              <w:t>FBS competition and governance</w:t>
            </w:r>
          </w:p>
        </w:tc>
        <w:tc>
          <w:tcPr>
            <w:tcW w:type="dxa" w:w="1100"/>
            <w:vAlign w:val="center"/>
            <w:tcBorders>
              <w:top w:val="single" w:sz="4" w:space="0" w:color="D9E0E7"/>
              <w:left w:val="single" w:sz="4" w:space="0" w:color="D9E0E7"/>
              <w:bottom w:val="single" w:sz="4" w:space="0" w:color="D9E0E7"/>
              <w:right w:val="single" w:sz="4" w:space="0" w:color="D9E0E7"/>
              <w:insideH w:val="single" w:sz="4" w:space="0" w:color="D9E0E7"/>
              <w:insideV w:val="single" w:sz="4" w:space="0" w:color="D9E0E7"/>
            </w:tcBorders>
            <w:shd w:fill="F4F6F9"/>
            <w:tcMar>
              <w:top w:w="80" w:type="dxa"/>
              <w:bottom w:w="80" w:type="dxa"/>
              <w:start w:w="120" w:type="dxa"/>
              <w:end w:w="120" w:type="dxa"/>
            </w:tcMar>
          </w:tcPr>
          <w:p>
            <w:pPr>
              <w:spacing w:before="0" w:after="0"/>
              <w:keepLines/>
            </w:pPr>
            <w:r>
              <w:rPr>
                <w:rFonts w:ascii="Calibri" w:hAnsi="Calibri"/>
                <w:b/>
                <w:color w:val="0B2545"/>
                <w:sz w:val="18"/>
              </w:rPr>
              <w:t>Date</w:t>
            </w:r>
          </w:p>
        </w:tc>
        <w:tc>
          <w:tcPr>
            <w:tcW w:type="dxa" w:w="4110"/>
            <w:vAlign w:val="center"/>
            <w:tcBorders>
              <w:top w:val="single" w:sz="4" w:space="0" w:color="D9E0E7"/>
              <w:left w:val="single" w:sz="4" w:space="0" w:color="D9E0E7"/>
              <w:bottom w:val="single" w:sz="4" w:space="0" w:color="D9E0E7"/>
              <w:right w:val="single" w:sz="4" w:space="0" w:color="D9E0E7"/>
              <w:insideH w:val="single" w:sz="4" w:space="0" w:color="D9E0E7"/>
              <w:insideV w:val="single" w:sz="4" w:space="0" w:color="D9E0E7"/>
            </w:tcBorders>
            <w:tcMar>
              <w:top w:w="80" w:type="dxa"/>
              <w:bottom w:w="80" w:type="dxa"/>
              <w:start w:w="120" w:type="dxa"/>
              <w:end w:w="120" w:type="dxa"/>
            </w:tcMar>
          </w:tcPr>
          <w:p>
            <w:pPr>
              <w:spacing w:before="0" w:after="0"/>
              <w:keepLines/>
            </w:pPr>
            <w:r>
              <w:rPr>
                <w:rFonts w:ascii="Calibri" w:hAnsi="Calibri"/>
                <w:b w:val="0"/>
                <w:color w:val="313A44"/>
                <w:sz w:val="18"/>
              </w:rPr>
              <w:t>August 2026</w:t>
            </w:r>
          </w:p>
        </w:tc>
      </w:tr>
      <w:tr>
        <w:trPr>
          <w:cantSplit w:val="true"/>
          <w:trHeight w:hRule="auto"/>
        </w:trPr>
        <w:tc>
          <w:tcPr>
            <w:tcW w:type="dxa" w:w="1100"/>
            <w:vAlign w:val="center"/>
            <w:tcBorders>
              <w:top w:val="single" w:sz="4" w:space="0" w:color="D9E0E7"/>
              <w:left w:val="single" w:sz="4" w:space="0" w:color="D9E0E7"/>
              <w:bottom w:val="single" w:sz="4" w:space="0" w:color="D9E0E7"/>
              <w:right w:val="single" w:sz="4" w:space="0" w:color="D9E0E7"/>
              <w:insideH w:val="single" w:sz="4" w:space="0" w:color="D9E0E7"/>
              <w:insideV w:val="single" w:sz="4" w:space="0" w:color="D9E0E7"/>
            </w:tcBorders>
            <w:shd w:fill="F4F6F9"/>
            <w:tcMar>
              <w:top w:w="80" w:type="dxa"/>
              <w:bottom w:w="80" w:type="dxa"/>
              <w:start w:w="120" w:type="dxa"/>
              <w:end w:w="120" w:type="dxa"/>
            </w:tcMar>
          </w:tcPr>
          <w:p>
            <w:pPr>
              <w:spacing w:before="0" w:after="0"/>
              <w:keepLines/>
            </w:pPr>
            <w:r>
              <w:rPr>
                <w:rFonts w:ascii="Calibri" w:hAnsi="Calibri"/>
                <w:b/>
                <w:color w:val="0B2545"/>
                <w:sz w:val="18"/>
              </w:rPr>
              <w:t>Primary ask</w:t>
            </w:r>
          </w:p>
        </w:tc>
        <w:tc>
          <w:tcPr>
            <w:tcW w:type="dxa" w:w="3050"/>
            <w:vAlign w:val="center"/>
            <w:tcBorders>
              <w:top w:val="single" w:sz="4" w:space="0" w:color="D9E0E7"/>
              <w:left w:val="single" w:sz="4" w:space="0" w:color="D9E0E7"/>
              <w:bottom w:val="single" w:sz="4" w:space="0" w:color="D9E0E7"/>
              <w:right w:val="single" w:sz="4" w:space="0" w:color="D9E0E7"/>
              <w:insideH w:val="single" w:sz="4" w:space="0" w:color="D9E0E7"/>
              <w:insideV w:val="single" w:sz="4" w:space="0" w:color="D9E0E7"/>
            </w:tcBorders>
            <w:tcMar>
              <w:top w:w="80" w:type="dxa"/>
              <w:bottom w:w="80" w:type="dxa"/>
              <w:start w:w="120" w:type="dxa"/>
              <w:end w:w="120" w:type="dxa"/>
            </w:tcMar>
          </w:tcPr>
          <w:p>
            <w:pPr>
              <w:spacing w:before="0" w:after="0"/>
              <w:keepLines/>
            </w:pPr>
            <w:r>
              <w:rPr>
                <w:rFonts w:ascii="Calibri" w:hAnsi="Calibri"/>
                <w:b w:val="0"/>
                <w:color w:val="313A44"/>
                <w:sz w:val="18"/>
              </w:rPr>
              <w:t>Authorize integrated design process</w:t>
            </w:r>
          </w:p>
        </w:tc>
        <w:tc>
          <w:tcPr>
            <w:tcW w:type="dxa" w:w="1100"/>
            <w:vAlign w:val="center"/>
            <w:tcBorders>
              <w:top w:val="single" w:sz="4" w:space="0" w:color="D9E0E7"/>
              <w:left w:val="single" w:sz="4" w:space="0" w:color="D9E0E7"/>
              <w:bottom w:val="single" w:sz="4" w:space="0" w:color="D9E0E7"/>
              <w:right w:val="single" w:sz="4" w:space="0" w:color="D9E0E7"/>
              <w:insideH w:val="single" w:sz="4" w:space="0" w:color="D9E0E7"/>
              <w:insideV w:val="single" w:sz="4" w:space="0" w:color="D9E0E7"/>
            </w:tcBorders>
            <w:shd w:fill="F4F6F9"/>
            <w:tcMar>
              <w:top w:w="80" w:type="dxa"/>
              <w:bottom w:w="80" w:type="dxa"/>
              <w:start w:w="120" w:type="dxa"/>
              <w:end w:w="120" w:type="dxa"/>
            </w:tcMar>
          </w:tcPr>
          <w:p>
            <w:pPr>
              <w:spacing w:before="0" w:after="0"/>
              <w:keepLines/>
            </w:pPr>
            <w:r>
              <w:rPr>
                <w:rFonts w:ascii="Calibri" w:hAnsi="Calibri"/>
                <w:b/>
                <w:color w:val="0B2545"/>
                <w:sz w:val="18"/>
              </w:rPr>
              <w:t>Horizon</w:t>
            </w:r>
          </w:p>
        </w:tc>
        <w:tc>
          <w:tcPr>
            <w:tcW w:type="dxa" w:w="4110"/>
            <w:vAlign w:val="center"/>
            <w:tcBorders>
              <w:top w:val="single" w:sz="4" w:space="0" w:color="D9E0E7"/>
              <w:left w:val="single" w:sz="4" w:space="0" w:color="D9E0E7"/>
              <w:bottom w:val="single" w:sz="4" w:space="0" w:color="D9E0E7"/>
              <w:right w:val="single" w:sz="4" w:space="0" w:color="D9E0E7"/>
              <w:insideH w:val="single" w:sz="4" w:space="0" w:color="D9E0E7"/>
              <w:insideV w:val="single" w:sz="4" w:space="0" w:color="D9E0E7"/>
            </w:tcBorders>
            <w:tcMar>
              <w:top w:w="80" w:type="dxa"/>
              <w:bottom w:w="80" w:type="dxa"/>
              <w:start w:w="120" w:type="dxa"/>
              <w:end w:w="120" w:type="dxa"/>
            </w:tcMar>
          </w:tcPr>
          <w:p>
            <w:pPr>
              <w:spacing w:before="0" w:after="0"/>
              <w:keepLines/>
            </w:pPr>
            <w:r>
              <w:rPr>
                <w:rFonts w:ascii="Calibri" w:hAnsi="Calibri"/>
                <w:b w:val="0"/>
                <w:color w:val="313A44"/>
                <w:sz w:val="18"/>
              </w:rPr>
              <w:t>Next format/rights cycle</w:t>
            </w:r>
          </w:p>
        </w:tc>
      </w:tr>
    </w:tbl>
    <w:p>
      <w:pPr>
        <w:spacing w:before="280" w:after="80"/>
        <w:jc w:val="center"/>
      </w:pPr>
      <w:r>
        <w:rPr>
          <w:rFonts w:ascii="Calibri" w:hAnsi="Calibri"/>
          <w:b w:val="0"/>
          <w:i/>
          <w:color w:val="5D6672"/>
          <w:sz w:val="18"/>
        </w:rPr>
        <w:t>This paper is a policy and competition-format proposal. Implementation of player contracting, movement windows, revenue sharing, and employment-related rules would require appropriate legal, governance, and—where applicable—collective-bargaining review.</w:t>
      </w:r>
    </w:p>
    <w:p>
      <w:pPr>
        <w:spacing w:before="0" w:after="0"/>
        <w:jc w:val="center"/>
      </w:pPr>
      <w:r>
        <w:rPr>
          <w:rFonts w:ascii="Calibri" w:hAnsi="Calibri"/>
          <w:b w:val="0"/>
          <w:i/>
          <w:color w:val="5D6672"/>
          <w:sz w:val="17"/>
        </w:rPr>
        <w:t>Authorship and AI disclosure: Written by Alec Levine. Artificial intelligence was used as a research, drafting, editing, modeling, and document-production assistant. The ideas, policy positions, judgments, and responsibility for the proposal are Alec Levine’s.</w:t>
      </w:r>
    </w:p>
    <w:p>
      <w:r>
        <w:br w:type="page"/>
      </w:r>
    </w:p>
    <w:p>
      <w:pPr>
        <w:pStyle w:val="Heading1"/>
        <w:keepNext/>
        <w:keepLines/>
      </w:pPr>
      <w:r>
        <w:t>Contents</w:t>
      </w:r>
    </w:p>
    <w:p>
      <w:pPr>
        <w:spacing w:before="0" w:after="200"/>
      </w:pPr>
      <w:r>
        <w:rPr>
          <w:rFonts w:ascii="Calibri" w:hAnsi="Calibri"/>
          <w:b w:val="0"/>
          <w:i/>
          <w:color w:val="5D6672"/>
          <w:sz w:val="19"/>
        </w:rPr>
        <w:t>Proposal sections and supporting appendices</w:t>
      </w:r>
    </w:p>
    <w:p>
      <w:pPr>
        <w:tabs>
          <w:tab w:pos="9000" w:val="right" w:leader="dot"/>
        </w:tabs>
        <w:spacing w:before="0" w:after="60" w:line="240" w:lineRule="auto"/>
        <w:ind w:left="0"/>
      </w:pPr>
      <w:r>
        <w:rPr>
          <w:rFonts w:ascii="Calibri" w:hAnsi="Calibri"/>
          <w:b/>
          <w:color w:val="0B2545"/>
          <w:sz w:val="20"/>
        </w:rPr>
        <w:t>Executive Summary</w:t>
      </w:r>
      <w:r>
        <w:tab/>
      </w:r>
      <w:r>
        <w:rPr>
          <w:rFonts w:ascii="Calibri" w:hAnsi="Calibri"/>
          <w:color w:val="5D6672"/>
          <w:sz w:val="20"/>
        </w:rPr>
        <w:t>3</w:t>
      </w:r>
    </w:p>
    <w:p>
      <w:pPr>
        <w:tabs>
          <w:tab w:pos="9000" w:val="right" w:leader="dot"/>
        </w:tabs>
        <w:spacing w:before="0" w:after="60" w:line="240" w:lineRule="auto"/>
        <w:ind w:left="0"/>
      </w:pPr>
      <w:r>
        <w:rPr>
          <w:rFonts w:ascii="Calibri" w:hAnsi="Calibri"/>
          <w:b/>
          <w:color w:val="0B2545"/>
          <w:sz w:val="20"/>
        </w:rPr>
        <w:t>1. Design Principles</w:t>
      </w:r>
      <w:r>
        <w:tab/>
      </w:r>
      <w:r>
        <w:rPr>
          <w:rFonts w:ascii="Calibri" w:hAnsi="Calibri"/>
          <w:color w:val="5D6672"/>
          <w:sz w:val="20"/>
        </w:rPr>
        <w:t>4</w:t>
      </w:r>
    </w:p>
    <w:p>
      <w:pPr>
        <w:tabs>
          <w:tab w:pos="9000" w:val="right" w:leader="dot"/>
        </w:tabs>
        <w:spacing w:before="0" w:after="60" w:line="240" w:lineRule="auto"/>
        <w:ind w:left="0"/>
      </w:pPr>
      <w:r>
        <w:rPr>
          <w:rFonts w:ascii="Calibri" w:hAnsi="Calibri"/>
          <w:b/>
          <w:color w:val="0B2545"/>
          <w:sz w:val="20"/>
        </w:rPr>
        <w:t>2. An 18-Team College Football Playoff</w:t>
      </w:r>
      <w:r>
        <w:tab/>
      </w:r>
      <w:r>
        <w:rPr>
          <w:rFonts w:ascii="Calibri" w:hAnsi="Calibri"/>
          <w:color w:val="5D6672"/>
          <w:sz w:val="20"/>
        </w:rPr>
        <w:t>6</w:t>
      </w:r>
    </w:p>
    <w:p>
      <w:pPr>
        <w:tabs>
          <w:tab w:pos="9000" w:val="right" w:leader="dot"/>
        </w:tabs>
        <w:spacing w:before="0" w:after="60" w:line="240" w:lineRule="auto"/>
        <w:ind w:left="0"/>
      </w:pPr>
      <w:r>
        <w:rPr>
          <w:rFonts w:ascii="Calibri" w:hAnsi="Calibri"/>
          <w:b/>
          <w:color w:val="0B2545"/>
          <w:sz w:val="20"/>
        </w:rPr>
        <w:t>3. Conference Championships That Matter</w:t>
      </w:r>
      <w:r>
        <w:tab/>
      </w:r>
      <w:r>
        <w:rPr>
          <w:rFonts w:ascii="Calibri" w:hAnsi="Calibri"/>
          <w:color w:val="5D6672"/>
          <w:sz w:val="20"/>
        </w:rPr>
        <w:t>8</w:t>
      </w:r>
    </w:p>
    <w:p>
      <w:pPr>
        <w:tabs>
          <w:tab w:pos="9000" w:val="right" w:leader="dot"/>
        </w:tabs>
        <w:spacing w:before="0" w:after="60" w:line="240" w:lineRule="auto"/>
        <w:ind w:left="0"/>
      </w:pPr>
      <w:r>
        <w:rPr>
          <w:rFonts w:ascii="Calibri" w:hAnsi="Calibri"/>
          <w:b/>
          <w:color w:val="0B2545"/>
          <w:sz w:val="20"/>
        </w:rPr>
        <w:t>4. A National Calendar That Protects the Season</w:t>
      </w:r>
      <w:r>
        <w:tab/>
      </w:r>
      <w:r>
        <w:rPr>
          <w:rFonts w:ascii="Calibri" w:hAnsi="Calibri"/>
          <w:color w:val="5D6672"/>
          <w:sz w:val="20"/>
        </w:rPr>
        <w:t>10</w:t>
      </w:r>
    </w:p>
    <w:p>
      <w:pPr>
        <w:tabs>
          <w:tab w:pos="9000" w:val="right" w:leader="dot"/>
        </w:tabs>
        <w:spacing w:before="0" w:after="60" w:line="240" w:lineRule="auto"/>
        <w:ind w:left="0"/>
      </w:pPr>
      <w:r>
        <w:rPr>
          <w:rFonts w:ascii="Calibri" w:hAnsi="Calibri"/>
          <w:b/>
          <w:color w:val="0B2545"/>
          <w:sz w:val="20"/>
        </w:rPr>
        <w:t>5. Ranking Reform</w:t>
      </w:r>
      <w:r>
        <w:tab/>
      </w:r>
      <w:r>
        <w:rPr>
          <w:rFonts w:ascii="Calibri" w:hAnsi="Calibri"/>
          <w:color w:val="5D6672"/>
          <w:sz w:val="20"/>
        </w:rPr>
        <w:t>11</w:t>
      </w:r>
    </w:p>
    <w:p>
      <w:pPr>
        <w:tabs>
          <w:tab w:pos="9000" w:val="right" w:leader="dot"/>
        </w:tabs>
        <w:spacing w:before="0" w:after="60" w:line="240" w:lineRule="auto"/>
        <w:ind w:left="0"/>
      </w:pPr>
      <w:r>
        <w:rPr>
          <w:rFonts w:ascii="Calibri" w:hAnsi="Calibri"/>
          <w:b/>
          <w:color w:val="0B2545"/>
          <w:sz w:val="20"/>
        </w:rPr>
        <w:t>6. Scheduling Reform</w:t>
      </w:r>
      <w:r>
        <w:tab/>
      </w:r>
      <w:r>
        <w:rPr>
          <w:rFonts w:ascii="Calibri" w:hAnsi="Calibri"/>
          <w:color w:val="5D6672"/>
          <w:sz w:val="20"/>
        </w:rPr>
        <w:t>13</w:t>
      </w:r>
    </w:p>
    <w:p>
      <w:pPr>
        <w:tabs>
          <w:tab w:pos="9000" w:val="right" w:leader="dot"/>
        </w:tabs>
        <w:spacing w:before="0" w:after="60" w:line="240" w:lineRule="auto"/>
        <w:ind w:left="0"/>
      </w:pPr>
      <w:r>
        <w:rPr>
          <w:rFonts w:ascii="Calibri" w:hAnsi="Calibri"/>
          <w:b/>
          <w:color w:val="0B2545"/>
          <w:sz w:val="20"/>
        </w:rPr>
        <w:t>7. Roster, Recruiting, and Coaching Calendar</w:t>
      </w:r>
      <w:r>
        <w:tab/>
      </w:r>
      <w:r>
        <w:rPr>
          <w:rFonts w:ascii="Calibri" w:hAnsi="Calibri"/>
          <w:color w:val="5D6672"/>
          <w:sz w:val="20"/>
        </w:rPr>
        <w:t>14</w:t>
      </w:r>
    </w:p>
    <w:p>
      <w:pPr>
        <w:tabs>
          <w:tab w:pos="9000" w:val="right" w:leader="dot"/>
        </w:tabs>
        <w:spacing w:before="0" w:after="60" w:line="240" w:lineRule="auto"/>
        <w:ind w:left="0"/>
      </w:pPr>
      <w:r>
        <w:rPr>
          <w:rFonts w:ascii="Calibri" w:hAnsi="Calibri"/>
          <w:b/>
          <w:color w:val="0B2545"/>
          <w:sz w:val="20"/>
        </w:rPr>
        <w:t>8. The National Tournament: A Complementary FBS Postseason</w:t>
      </w:r>
      <w:r>
        <w:tab/>
      </w:r>
      <w:r>
        <w:rPr>
          <w:rFonts w:ascii="Calibri" w:hAnsi="Calibri"/>
          <w:color w:val="5D6672"/>
          <w:sz w:val="20"/>
        </w:rPr>
        <w:t>17</w:t>
      </w:r>
    </w:p>
    <w:p>
      <w:pPr>
        <w:tabs>
          <w:tab w:pos="9000" w:val="right" w:leader="dot"/>
        </w:tabs>
        <w:spacing w:before="0" w:after="60" w:line="240" w:lineRule="auto"/>
        <w:ind w:left="0"/>
      </w:pPr>
      <w:r>
        <w:rPr>
          <w:rFonts w:ascii="Calibri" w:hAnsi="Calibri"/>
          <w:b/>
          <w:color w:val="0B2545"/>
          <w:sz w:val="20"/>
        </w:rPr>
        <w:t>9. Bowl Ecosystem</w:t>
      </w:r>
      <w:r>
        <w:tab/>
      </w:r>
      <w:r>
        <w:rPr>
          <w:rFonts w:ascii="Calibri" w:hAnsi="Calibri"/>
          <w:color w:val="5D6672"/>
          <w:sz w:val="20"/>
        </w:rPr>
        <w:t>20</w:t>
      </w:r>
    </w:p>
    <w:p>
      <w:pPr>
        <w:tabs>
          <w:tab w:pos="9000" w:val="right" w:leader="dot"/>
        </w:tabs>
        <w:spacing w:before="0" w:after="60" w:line="240" w:lineRule="auto"/>
        <w:ind w:left="0"/>
      </w:pPr>
      <w:r>
        <w:rPr>
          <w:rFonts w:ascii="Calibri" w:hAnsi="Calibri"/>
          <w:b/>
          <w:color w:val="0B2545"/>
          <w:sz w:val="20"/>
        </w:rPr>
        <w:t>10. Governance and Administration</w:t>
      </w:r>
      <w:r>
        <w:tab/>
      </w:r>
      <w:r>
        <w:rPr>
          <w:rFonts w:ascii="Calibri" w:hAnsi="Calibri"/>
          <w:color w:val="5D6672"/>
          <w:sz w:val="20"/>
        </w:rPr>
        <w:t>20</w:t>
      </w:r>
    </w:p>
    <w:p>
      <w:pPr>
        <w:tabs>
          <w:tab w:pos="9000" w:val="right" w:leader="dot"/>
        </w:tabs>
        <w:spacing w:before="0" w:after="60" w:line="240" w:lineRule="auto"/>
        <w:ind w:left="0"/>
      </w:pPr>
      <w:r>
        <w:rPr>
          <w:rFonts w:ascii="Calibri" w:hAnsi="Calibri"/>
          <w:b/>
          <w:color w:val="0B2545"/>
          <w:sz w:val="20"/>
        </w:rPr>
        <w:t>11. Implementation Roadmap</w:t>
      </w:r>
      <w:r>
        <w:tab/>
      </w:r>
      <w:r>
        <w:rPr>
          <w:rFonts w:ascii="Calibri" w:hAnsi="Calibri"/>
          <w:color w:val="5D6672"/>
          <w:sz w:val="20"/>
        </w:rPr>
        <w:t>22</w:t>
      </w:r>
    </w:p>
    <w:p>
      <w:pPr>
        <w:tabs>
          <w:tab w:pos="9000" w:val="right" w:leader="dot"/>
        </w:tabs>
        <w:spacing w:before="0" w:after="60" w:line="240" w:lineRule="auto"/>
        <w:ind w:left="0"/>
      </w:pPr>
      <w:r>
        <w:rPr>
          <w:rFonts w:ascii="Calibri" w:hAnsi="Calibri"/>
          <w:b/>
          <w:color w:val="0B2545"/>
          <w:sz w:val="20"/>
        </w:rPr>
        <w:t>12. Risks, Safeguards, and Open Decisions</w:t>
      </w:r>
      <w:r>
        <w:tab/>
      </w:r>
      <w:r>
        <w:rPr>
          <w:rFonts w:ascii="Calibri" w:hAnsi="Calibri"/>
          <w:color w:val="5D6672"/>
          <w:sz w:val="20"/>
        </w:rPr>
        <w:t>23</w:t>
      </w:r>
    </w:p>
    <w:p>
      <w:pPr>
        <w:tabs>
          <w:tab w:pos="9000" w:val="right" w:leader="dot"/>
        </w:tabs>
        <w:spacing w:before="0" w:after="60" w:line="240" w:lineRule="auto"/>
        <w:ind w:left="0"/>
      </w:pPr>
      <w:r>
        <w:rPr>
          <w:rFonts w:ascii="Calibri" w:hAnsi="Calibri"/>
          <w:b/>
          <w:color w:val="0B2545"/>
          <w:sz w:val="20"/>
        </w:rPr>
        <w:t>13. Principles the Framework Must Preserve</w:t>
      </w:r>
      <w:r>
        <w:tab/>
      </w:r>
      <w:r>
        <w:rPr>
          <w:rFonts w:ascii="Calibri" w:hAnsi="Calibri"/>
          <w:color w:val="5D6672"/>
          <w:sz w:val="20"/>
        </w:rPr>
        <w:t>23</w:t>
      </w:r>
    </w:p>
    <w:p>
      <w:pPr>
        <w:tabs>
          <w:tab w:pos="9000" w:val="right" w:leader="dot"/>
        </w:tabs>
        <w:spacing w:before="0" w:after="60" w:line="240" w:lineRule="auto"/>
        <w:ind w:left="0"/>
      </w:pPr>
      <w:r>
        <w:rPr>
          <w:rFonts w:ascii="Calibri" w:hAnsi="Calibri"/>
          <w:b/>
          <w:color w:val="0B2545"/>
          <w:sz w:val="20"/>
        </w:rPr>
        <w:t>Conclusion</w:t>
      </w:r>
      <w:r>
        <w:tab/>
      </w:r>
      <w:r>
        <w:rPr>
          <w:rFonts w:ascii="Calibri" w:hAnsi="Calibri"/>
          <w:color w:val="5D6672"/>
          <w:sz w:val="20"/>
        </w:rPr>
        <w:t>24</w:t>
      </w:r>
    </w:p>
    <w:p>
      <w:pPr>
        <w:tabs>
          <w:tab w:pos="9000" w:val="right" w:leader="dot"/>
        </w:tabs>
        <w:spacing w:before="0" w:after="40" w:line="240" w:lineRule="auto"/>
        <w:ind w:left="317"/>
      </w:pPr>
      <w:r>
        <w:rPr>
          <w:rFonts w:ascii="Calibri" w:hAnsi="Calibri"/>
          <w:b w:val="0"/>
          <w:color w:val="5D6672"/>
          <w:sz w:val="19"/>
        </w:rPr>
        <w:t>Appendix A. Companion Implementation Package</w:t>
      </w:r>
      <w:r>
        <w:tab/>
      </w:r>
      <w:r>
        <w:rPr>
          <w:rFonts w:ascii="Calibri" w:hAnsi="Calibri"/>
          <w:color w:val="5D6672"/>
          <w:sz w:val="19"/>
        </w:rPr>
        <w:t>25</w:t>
      </w:r>
    </w:p>
    <w:p>
      <w:pPr>
        <w:tabs>
          <w:tab w:pos="9000" w:val="right" w:leader="dot"/>
        </w:tabs>
        <w:spacing w:before="0" w:after="40" w:line="240" w:lineRule="auto"/>
        <w:ind w:left="317"/>
      </w:pPr>
      <w:r>
        <w:rPr>
          <w:rFonts w:ascii="Calibri" w:hAnsi="Calibri"/>
          <w:b w:val="0"/>
          <w:color w:val="5D6672"/>
          <w:sz w:val="19"/>
        </w:rPr>
        <w:t>Appendix B. Illustrative 18-Team Bracket</w:t>
      </w:r>
      <w:r>
        <w:tab/>
      </w:r>
      <w:r>
        <w:rPr>
          <w:rFonts w:ascii="Calibri" w:hAnsi="Calibri"/>
          <w:color w:val="5D6672"/>
          <w:sz w:val="19"/>
        </w:rPr>
        <w:t>25</w:t>
      </w:r>
    </w:p>
    <w:p>
      <w:pPr>
        <w:tabs>
          <w:tab w:pos="9000" w:val="right" w:leader="dot"/>
        </w:tabs>
        <w:spacing w:before="0" w:after="40" w:line="240" w:lineRule="auto"/>
        <w:ind w:left="317"/>
      </w:pPr>
      <w:r>
        <w:rPr>
          <w:rFonts w:ascii="Calibri" w:hAnsi="Calibri"/>
          <w:b w:val="0"/>
          <w:color w:val="5D6672"/>
          <w:sz w:val="19"/>
        </w:rPr>
        <w:t>Appendix C. Illustrative Committee Dashboard</w:t>
      </w:r>
      <w:r>
        <w:tab/>
      </w:r>
      <w:r>
        <w:rPr>
          <w:rFonts w:ascii="Calibri" w:hAnsi="Calibri"/>
          <w:color w:val="5D6672"/>
          <w:sz w:val="19"/>
        </w:rPr>
        <w:t>26</w:t>
      </w:r>
    </w:p>
    <w:p>
      <w:pPr>
        <w:tabs>
          <w:tab w:pos="9000" w:val="right" w:leader="dot"/>
        </w:tabs>
        <w:spacing w:before="0" w:after="40" w:line="240" w:lineRule="auto"/>
        <w:ind w:left="317"/>
      </w:pPr>
      <w:r>
        <w:rPr>
          <w:rFonts w:ascii="Calibri" w:hAnsi="Calibri"/>
          <w:b w:val="0"/>
          <w:color w:val="5D6672"/>
          <w:sz w:val="19"/>
        </w:rPr>
        <w:t>Appendix D. Current-State Sources</w:t>
      </w:r>
      <w:r>
        <w:tab/>
      </w:r>
      <w:r>
        <w:rPr>
          <w:rFonts w:ascii="Calibri" w:hAnsi="Calibri"/>
          <w:color w:val="5D6672"/>
          <w:sz w:val="19"/>
        </w:rPr>
        <w:t>26</w:t>
      </w:r>
    </w:p>
    <w:p>
      <w:r>
        <w:br w:type="page"/>
      </w:r>
    </w:p>
    <w:p>
      <w:pPr>
        <w:pStyle w:val="Heading1"/>
        <w:keepNext/>
        <w:keepLines/>
      </w:pPr>
      <w:r>
        <w:t>Executive Summary</w:t>
      </w:r>
    </w:p>
    <w:p>
      <w:pPr>
        <w:pStyle w:val="ProposalLead"/>
        <w:spacing w:before="0"/>
      </w:pPr>
      <w:r>
        <w:rPr>
          <w:rFonts w:ascii="Calibri" w:hAnsi="Calibri"/>
          <w:b w:val="0"/>
          <w:i w:val="0"/>
        </w:rPr>
        <w:t>College football does not need a larger bracket in isolation. It needs a coherent national system. The proposed model expands championship access while making the top of the regular season more valuable, gives conference titles concrete upside without exposing participants to disproportionate downside, places the most important games on campuses when campuses are active, and separates football season from transfer, recruiting, signing, and coaching-market activity.</w:t>
      </w:r>
    </w:p>
    <w:p>
      <w:pPr>
        <w:spacing w:before="120" w:after="200" w:line="288" w:lineRule="auto"/>
        <w:ind w:left="259" w:right="115"/>
        <w:shd w:fill="F4F6F9"/>
        <w:pBdr>
          <w:left w:val="single" w:sz="18" w:space="6" w:color="2E74B5"/>
        </w:pBdr>
        <w:keepLines/>
      </w:pPr>
      <w:r>
        <w:rPr>
          <w:rFonts w:ascii="Calibri" w:hAnsi="Calibri"/>
          <w:b/>
          <w:color w:val="2E74B5"/>
          <w:sz w:val="20"/>
        </w:rPr>
        <w:t xml:space="preserve">DECISION REQUESTED  </w:t>
      </w:r>
      <w:r>
        <w:rPr>
          <w:rFonts w:ascii="Calibri" w:hAnsi="Calibri"/>
          <w:color w:val="0B2545"/>
          <w:sz w:val="21"/>
        </w:rPr>
        <w:t>Authorize a joint CFP–conference–NCAA design process to model and negotiate the integrated reform framework for the next available format and media-rights cycle, with an integrated rulebook rather than a sequence of unrelated reforms.</w:t>
      </w:r>
    </w:p>
    <w:p>
      <w:pPr>
        <w:pStyle w:val="Heading2"/>
        <w:keepNext/>
        <w:keepLines/>
      </w:pPr>
      <w:r>
        <w:t>How the package is organized</w:t>
      </w:r>
    </w:p>
    <w:p>
      <w:pPr>
        <w:spacing w:before="0"/>
      </w:pPr>
      <w:r>
        <w:rPr>
          <w:rFonts w:ascii="Calibri" w:hAnsi="Calibri"/>
          <w:b w:val="0"/>
          <w:i w:val="0"/>
        </w:rPr>
        <w:t>The public case rests on six connected competitive reforms: the 18-team CFP, conference-title protections, transparent rankings, comparable schedules, a protected season, and the non-Power Four National Tournament. Three implementation frameworks sit underneath those reforms rather than becoming reforms seven through nine: College Football–NFL Coordination; Athlete Rights and Economics; and Governance, Finance, and Independent Validation. This hierarchy keeps the proposal understandable while making authority, funding, negotiation, and evidence requirements explicit.</w:t>
      </w:r>
    </w:p>
    <w:p>
      <w:pPr>
        <w:pStyle w:val="Heading2"/>
        <w:keepNext/>
        <w:keepLines/>
      </w:pPr>
      <w:r>
        <w:t>Proposal at a glance</w:t>
      </w:r>
    </w:p>
    <w:tbl>
      <w:tblPr>
        <w:tblW w:type="dxa" w:w="9360"/>
        <w:jc w:val="left"/>
        <w:tblLayout w:type="fixed"/>
        <w:tblLook w:firstColumn="1" w:firstRow="1" w:lastColumn="0" w:lastRow="0" w:noHBand="0" w:noVBand="1" w:val="04A0"/>
        <w:tblInd w:type="dxa" w:w="120"/>
      </w:tblPr>
      <w:tblGrid>
        <w:gridCol w:w="1900"/>
        <w:gridCol w:w="7460"/>
      </w:tblGrid>
      <w:tr>
        <w:trPr>
          <w:trHeight w:hRule="auto"/>
          <w:cantSplit w:val="true"/>
          <w:tblHeader w:val="true"/>
        </w:trPr>
        <w:tc>
          <w:tcPr>
            <w:tcW w:type="dxa" w:w="19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Pillar</w:t>
            </w:r>
          </w:p>
        </w:tc>
        <w:tc>
          <w:tcPr>
            <w:tcW w:type="dxa" w:w="746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Core proposal</w:t>
            </w:r>
          </w:p>
        </w:tc>
      </w:tr>
      <w:tr>
        <w:trPr>
          <w:cantSplit w:val="true"/>
          <w:trHeight w:hRule="auto"/>
        </w:trPr>
        <w:tc>
          <w:tcPr>
            <w:tcW w:type="dxa" w:w="19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Championship</w:t>
            </w:r>
          </w:p>
        </w:tc>
        <w:tc>
          <w:tcPr>
            <w:tcW w:type="dxa" w:w="74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18-team CFP: two double-bye positions, eight single-bye positions, and eight opening-round positions.</w:t>
            </w:r>
          </w:p>
        </w:tc>
      </w:tr>
      <w:tr>
        <w:trPr>
          <w:cantSplit w:val="true"/>
          <w:trHeight w:hRule="auto"/>
        </w:trPr>
        <w:tc>
          <w:tcPr>
            <w:tcW w:type="dxa" w:w="19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Conference value</w:t>
            </w:r>
          </w:p>
        </w:tc>
        <w:tc>
          <w:tcPr>
            <w:tcW w:type="dxa" w:w="74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Every Power Four champion receives access and at least a single bye; the highest-ranked additional conference champion completes a five-champion automatic-access group.</w:t>
            </w:r>
          </w:p>
        </w:tc>
      </w:tr>
      <w:tr>
        <w:trPr>
          <w:cantSplit w:val="true"/>
          <w:trHeight w:hRule="auto"/>
        </w:trPr>
        <w:tc>
          <w:tcPr>
            <w:tcW w:type="dxa" w:w="19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Bracket integrity</w:t>
            </w:r>
          </w:p>
        </w:tc>
        <w:tc>
          <w:tcPr>
            <w:tcW w:type="dxa" w:w="74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Reseed after the opening round and after Round 2; lock the bracket at the quarterfinals.</w:t>
            </w:r>
          </w:p>
        </w:tc>
      </w:tr>
      <w:tr>
        <w:trPr>
          <w:cantSplit w:val="true"/>
          <w:trHeight w:hRule="auto"/>
        </w:trPr>
        <w:tc>
          <w:tcPr>
            <w:tcW w:type="dxa" w:w="19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Sites and timing</w:t>
            </w:r>
          </w:p>
        </w:tc>
        <w:tc>
          <w:tcPr>
            <w:tcW w:type="dxa" w:w="74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Thanksgiving rivalry finales; conference titles the next weekend; campus Round 1; one six-bowl Round 2; Christmas pause; campus quarterfinals and semifinals; neutral championship.</w:t>
            </w:r>
          </w:p>
        </w:tc>
      </w:tr>
      <w:tr>
        <w:trPr>
          <w:cantSplit w:val="true"/>
          <w:trHeight w:hRule="auto"/>
        </w:trPr>
        <w:tc>
          <w:tcPr>
            <w:tcW w:type="dxa" w:w="19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Rankings</w:t>
            </w:r>
          </w:p>
        </w:tc>
        <w:tc>
          <w:tcPr>
            <w:tcW w:type="dxa" w:w="74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Keep polls for culture, but use transparent, retroactive résumé data and a separate team-strength rating for official decisions.</w:t>
            </w:r>
          </w:p>
        </w:tc>
      </w:tr>
      <w:tr>
        <w:trPr>
          <w:cantSplit w:val="true"/>
          <w:trHeight w:hRule="auto"/>
        </w:trPr>
        <w:tc>
          <w:tcPr>
            <w:tcW w:type="dxa" w:w="19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Season structure</w:t>
            </w:r>
          </w:p>
        </w:tc>
        <w:tc>
          <w:tcPr>
            <w:tcW w:type="dxa" w:w="74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Nine conference games, two meaningful nonconference games, one flexible game, protected rivalries, and an interconference challenge.</w:t>
            </w:r>
          </w:p>
        </w:tc>
      </w:tr>
      <w:tr>
        <w:trPr>
          <w:cantSplit w:val="true"/>
          <w:trHeight w:hRule="auto"/>
        </w:trPr>
        <w:tc>
          <w:tcPr>
            <w:tcW w:type="dxa" w:w="19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Roster calendar</w:t>
            </w:r>
          </w:p>
        </w:tc>
        <w:tc>
          <w:tcPr>
            <w:tcW w:type="dxa" w:w="74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No portal, signing, or formal FBS-to-FBS coaching movement during the championship season; concentrate roster construction after the title game.</w:t>
            </w:r>
          </w:p>
        </w:tc>
      </w:tr>
      <w:tr>
        <w:trPr>
          <w:cantSplit w:val="true"/>
          <w:trHeight w:hRule="auto"/>
        </w:trPr>
        <w:tc>
          <w:tcPr>
            <w:tcW w:type="dxa" w:w="19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FBS access</w:t>
            </w:r>
          </w:p>
        </w:tc>
        <w:tc>
          <w:tcPr>
            <w:tcW w:type="dxa" w:w="74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Create a 16-team National Tournament on protected Tuesday/Wednesday windows, available exclusively to eligible FBS institutions outside the Power Four.</w:t>
            </w:r>
          </w:p>
        </w:tc>
      </w:tr>
    </w:tbl>
    <w:p>
      <w:pPr>
        <w:spacing w:before="0" w:after="40"/>
      </w:pPr>
    </w:p>
    <w:p>
      <w:pPr>
        <w:pStyle w:val="Heading2"/>
        <w:keepNext/>
        <w:keepLines/>
      </w:pPr>
      <w:r>
        <w:t>Why the system should change</w:t>
      </w:r>
    </w:p>
    <w:p>
      <w:pPr>
        <w:spacing w:before="0"/>
      </w:pPr>
      <w:r>
        <w:rPr>
          <w:rFonts w:ascii="Calibri" w:hAnsi="Calibri"/>
          <w:b w:val="0"/>
          <w:i w:val="0"/>
        </w:rPr>
        <w:t>As of August 2026, the official 2026–27 CFP remains a 12-team event. The four highest-ranked teams receive first-round byes, five conference champions receive automatic access, the bracket does not reseed, the first round begins December 18–19, and the national championship is scheduled for January 25. Those rules create several avoidable weaknesses: long postseason gaps, limited differentiation among elite regular seasons, neutral-site travel burdens, a black-box perception around ranking, and a roster calendar that still touches the postseason. Official current-state sources appear in Appendix D.</w:t>
      </w:r>
    </w:p>
    <w:p>
      <w:pPr>
        <w:numPr>
          <w:ilvl w:val="0"/>
          <w:numId w:val="10"/>
        </w:numPr>
        <w:spacing w:after="80" w:line="290" w:lineRule="auto"/>
        <w:ind w:left="540" w:hanging="279"/>
        <w:keepLines/>
      </w:pPr>
      <w:r>
        <w:rPr>
          <w:rFonts w:ascii="Calibri" w:hAnsi="Calibri"/>
        </w:rPr>
        <w:t>Expansion can reduce regular-season stakes unless higher seeds receive materially different paths.</w:t>
      </w:r>
    </w:p>
    <w:p>
      <w:pPr>
        <w:numPr>
          <w:ilvl w:val="0"/>
          <w:numId w:val="10"/>
        </w:numPr>
        <w:spacing w:after="80" w:line="290" w:lineRule="auto"/>
        <w:ind w:left="540" w:hanging="279"/>
        <w:keepLines/>
      </w:pPr>
      <w:r>
        <w:rPr>
          <w:rFonts w:ascii="Calibri" w:hAnsi="Calibri"/>
        </w:rPr>
        <w:t>Conference-title games can become risk without sufficient protection and reward.</w:t>
      </w:r>
    </w:p>
    <w:p>
      <w:pPr>
        <w:numPr>
          <w:ilvl w:val="0"/>
          <w:numId w:val="10"/>
        </w:numPr>
        <w:spacing w:after="80" w:line="290" w:lineRule="auto"/>
        <w:ind w:left="540" w:hanging="279"/>
        <w:keepLines/>
      </w:pPr>
      <w:r>
        <w:rPr>
          <w:rFonts w:ascii="Calibri" w:hAnsi="Calibri"/>
        </w:rPr>
        <w:t>Most FBS institutions need a meaningful postseason objective below the CFP without being removed from the FBS ecosystem.</w:t>
      </w:r>
    </w:p>
    <w:p>
      <w:pPr>
        <w:numPr>
          <w:ilvl w:val="0"/>
          <w:numId w:val="10"/>
        </w:numPr>
        <w:spacing w:after="80" w:line="290" w:lineRule="auto"/>
        <w:ind w:left="540" w:hanging="279"/>
        <w:keepLines/>
      </w:pPr>
      <w:r>
        <w:rPr>
          <w:rFonts w:ascii="Calibri" w:hAnsi="Calibri"/>
        </w:rPr>
        <w:t>The sport needs cross-conference scheduling evidence, transparent résumé standards, and less preseason poll inertia.</w:t>
      </w:r>
    </w:p>
    <w:p>
      <w:pPr>
        <w:numPr>
          <w:ilvl w:val="0"/>
          <w:numId w:val="10"/>
        </w:numPr>
        <w:spacing w:after="80" w:line="290" w:lineRule="auto"/>
        <w:ind w:left="540" w:hanging="279"/>
        <w:keepLines/>
      </w:pPr>
      <w:r>
        <w:rPr>
          <w:rFonts w:ascii="Calibri" w:hAnsi="Calibri"/>
        </w:rPr>
        <w:t>Roster movement, recruiting, signing, and coaching changes should not compete with championship preparation.</w:t>
      </w:r>
    </w:p>
    <w:p>
      <w:pPr>
        <w:pStyle w:val="Heading1"/>
        <w:keepNext/>
        <w:keepLines/>
      </w:pPr>
      <w:r>
        <w:t>1. Design Principles</w:t>
      </w:r>
    </w:p>
    <w:p>
      <w:pPr>
        <w:numPr>
          <w:ilvl w:val="0"/>
          <w:numId w:val="11"/>
        </w:numPr>
        <w:spacing w:after="80" w:line="290" w:lineRule="auto"/>
        <w:ind w:left="540" w:hanging="279"/>
        <w:keepLines/>
      </w:pPr>
      <w:r>
        <w:rPr>
          <w:rFonts w:ascii="Calibri" w:hAnsi="Calibri"/>
          <w:b/>
        </w:rPr>
        <w:t>Keep one FBS ecosystem.</w:t>
      </w:r>
      <w:r>
        <w:rPr>
          <w:rFonts w:ascii="Calibri" w:hAnsi="Calibri"/>
        </w:rPr>
        <w:t xml:space="preserve"> Every eligible FBS institution retains a path to the CFP; the complementary tournament does not create a formal lower division.</w:t>
      </w:r>
    </w:p>
    <w:p>
      <w:pPr>
        <w:numPr>
          <w:ilvl w:val="0"/>
          <w:numId w:val="11"/>
        </w:numPr>
        <w:spacing w:after="80" w:line="290" w:lineRule="auto"/>
        <w:ind w:left="540" w:hanging="279"/>
        <w:keepLines/>
      </w:pPr>
      <w:r>
        <w:rPr>
          <w:rFonts w:ascii="Calibri" w:hAnsi="Calibri"/>
          <w:b/>
        </w:rPr>
        <w:t>Reward every improvement in finish.</w:t>
      </w:r>
      <w:r>
        <w:rPr>
          <w:rFonts w:ascii="Calibri" w:hAnsi="Calibri"/>
        </w:rPr>
        <w:t xml:space="preserve"> No institution should prefer the position directly below it. Byes, opponents, and home-field opportunities must improve with ranking.</w:t>
      </w:r>
    </w:p>
    <w:p>
      <w:pPr>
        <w:numPr>
          <w:ilvl w:val="0"/>
          <w:numId w:val="11"/>
        </w:numPr>
        <w:spacing w:after="80" w:line="290" w:lineRule="auto"/>
        <w:ind w:left="540" w:hanging="279"/>
        <w:keepLines/>
      </w:pPr>
      <w:r>
        <w:rPr>
          <w:rFonts w:ascii="Calibri" w:hAnsi="Calibri"/>
          <w:b/>
        </w:rPr>
        <w:t>Do not punish extra competition.</w:t>
      </w:r>
      <w:r>
        <w:rPr>
          <w:rFonts w:ascii="Calibri" w:hAnsi="Calibri"/>
        </w:rPr>
        <w:t xml:space="preserve"> An institution required to play a conference-title game should not lose benefit priority solely because it participated in that additional contest.</w:t>
      </w:r>
    </w:p>
    <w:p>
      <w:pPr>
        <w:numPr>
          <w:ilvl w:val="0"/>
          <w:numId w:val="11"/>
        </w:numPr>
        <w:spacing w:after="80" w:line="290" w:lineRule="auto"/>
        <w:ind w:left="540" w:hanging="279"/>
        <w:keepLines/>
      </w:pPr>
      <w:r>
        <w:rPr>
          <w:rFonts w:ascii="Calibri" w:hAnsi="Calibri"/>
          <w:b/>
        </w:rPr>
        <w:t>Put college football on campuses.</w:t>
      </w:r>
      <w:r>
        <w:rPr>
          <w:rFonts w:ascii="Calibri" w:hAnsi="Calibri"/>
        </w:rPr>
        <w:t xml:space="preserve"> Use home sites whenever students and campus communities are active; use bowls only where destination football has a clear purpose.</w:t>
      </w:r>
    </w:p>
    <w:p>
      <w:pPr>
        <w:numPr>
          <w:ilvl w:val="0"/>
          <w:numId w:val="11"/>
        </w:numPr>
        <w:spacing w:after="80" w:line="290" w:lineRule="auto"/>
        <w:ind w:left="540" w:hanging="279"/>
        <w:keepLines/>
      </w:pPr>
      <w:r>
        <w:rPr>
          <w:rFonts w:ascii="Calibri" w:hAnsi="Calibri"/>
          <w:b/>
        </w:rPr>
        <w:t>Separate achievement from prediction.</w:t>
      </w:r>
      <w:r>
        <w:rPr>
          <w:rFonts w:ascii="Calibri" w:hAnsi="Calibri"/>
        </w:rPr>
        <w:t xml:space="preserve"> A résumé rating should measure what a team earned; a team-strength rating should estimate how good it is now.</w:t>
      </w:r>
    </w:p>
    <w:p>
      <w:pPr>
        <w:numPr>
          <w:ilvl w:val="0"/>
          <w:numId w:val="11"/>
        </w:numPr>
        <w:spacing w:after="80" w:line="290" w:lineRule="auto"/>
        <w:ind w:left="540" w:hanging="279"/>
        <w:keepLines/>
      </w:pPr>
      <w:r>
        <w:rPr>
          <w:rFonts w:ascii="Calibri" w:hAnsi="Calibri"/>
          <w:b/>
        </w:rPr>
        <w:t>Protect football season.</w:t>
      </w:r>
      <w:r>
        <w:rPr>
          <w:rFonts w:ascii="Calibri" w:hAnsi="Calibri"/>
        </w:rPr>
        <w:t xml:space="preserve"> The portal, formal signing, and the coaching market should not operate during the championship run.</w:t>
      </w:r>
    </w:p>
    <w:p>
      <w:pPr>
        <w:numPr>
          <w:ilvl w:val="0"/>
          <w:numId w:val="11"/>
        </w:numPr>
        <w:spacing w:after="80" w:line="290" w:lineRule="auto"/>
        <w:ind w:left="540" w:hanging="279"/>
        <w:keepLines/>
      </w:pPr>
      <w:r>
        <w:rPr>
          <w:rFonts w:ascii="Calibri" w:hAnsi="Calibri"/>
          <w:b/>
        </w:rPr>
        <w:t>Preserve conference power within national guardrails.</w:t>
      </w:r>
      <w:r>
        <w:rPr>
          <w:rFonts w:ascii="Calibri" w:hAnsi="Calibri"/>
        </w:rPr>
        <w:t xml:space="preserve"> Conferences control membership, rivalries, schedules, and title formats; national participation requires shared standards.</w:t>
      </w:r>
    </w:p>
    <w:p>
      <w:pPr>
        <w:pStyle w:val="Heading2"/>
        <w:keepNext/>
        <w:keepLines/>
      </w:pPr>
      <w:r>
        <w:t>1.1 Defined terms and institutional neutrality</w:t>
      </w:r>
    </w:p>
    <w:p>
      <w:pPr>
        <w:spacing w:before="0"/>
      </w:pPr>
      <w:r>
        <w:rPr>
          <w:rFonts w:ascii="Calibri" w:hAnsi="Calibri"/>
          <w:b w:val="0"/>
          <w:i w:val="0"/>
        </w:rPr>
        <w:t>The implementing bylaws should use institutional categories rather than naming individual institutions. References to conference status apply to the institution’s affiliation for the season in question; membership changes do not require amendment of the competitive framework.</w:t>
      </w:r>
    </w:p>
    <w:tbl>
      <w:tblPr>
        <w:tblW w:type="dxa" w:w="9360"/>
        <w:jc w:val="left"/>
        <w:tblLayout w:type="fixed"/>
        <w:tblLook w:firstColumn="1" w:firstRow="1" w:lastColumn="0" w:lastRow="0" w:noHBand="0" w:noVBand="1" w:val="04A0"/>
        <w:tblInd w:type="dxa" w:w="120"/>
      </w:tblPr>
      <w:tblGrid>
        <w:gridCol w:w="2500"/>
        <w:gridCol w:w="6860"/>
      </w:tblGrid>
      <w:tr>
        <w:trPr>
          <w:trHeight w:hRule="auto"/>
          <w:cantSplit w:val="true"/>
          <w:tblHeader w:val="true"/>
        </w:trPr>
        <w:tc>
          <w:tcPr>
            <w:tcW w:type="dxa" w:w="25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Term</w:t>
            </w:r>
          </w:p>
        </w:tc>
        <w:tc>
          <w:tcPr>
            <w:tcW w:type="dxa" w:w="686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Meaning in this proposal</w:t>
            </w:r>
          </w:p>
        </w:tc>
      </w:tr>
      <w:tr>
        <w:trPr>
          <w:cantSplit w:val="true"/>
          <w:trHeight w:hRule="auto"/>
        </w:trPr>
        <w:tc>
          <w:tcPr>
            <w:tcW w:type="dxa" w:w="25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Power Four conference</w:t>
            </w:r>
          </w:p>
        </w:tc>
        <w:tc>
          <w:tcPr>
            <w:tcW w:type="dxa" w:w="68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One of the four FBS conferences designated for the conference-champion bye rule in the implementing bylaws.</w:t>
            </w:r>
          </w:p>
        </w:tc>
      </w:tr>
      <w:tr>
        <w:trPr>
          <w:cantSplit w:val="true"/>
          <w:trHeight w:hRule="auto"/>
        </w:trPr>
        <w:tc>
          <w:tcPr>
            <w:tcW w:type="dxa" w:w="25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Non-Power Four institution</w:t>
            </w:r>
          </w:p>
        </w:tc>
        <w:tc>
          <w:tcPr>
            <w:tcW w:type="dxa" w:w="68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An FBS institution that is not a member of a designated Power Four conference.</w:t>
            </w:r>
          </w:p>
        </w:tc>
      </w:tr>
      <w:tr>
        <w:trPr>
          <w:cantSplit w:val="true"/>
          <w:trHeight w:hRule="auto"/>
        </w:trPr>
        <w:tc>
          <w:tcPr>
            <w:tcW w:type="dxa" w:w="25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Independent institution</w:t>
            </w:r>
          </w:p>
        </w:tc>
        <w:tc>
          <w:tcPr>
            <w:tcW w:type="dxa" w:w="68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An FBS institution that is not a football member of an FBS conference.</w:t>
            </w:r>
          </w:p>
        </w:tc>
      </w:tr>
      <w:tr>
        <w:trPr>
          <w:cantSplit w:val="true"/>
          <w:trHeight w:hRule="auto"/>
        </w:trPr>
        <w:tc>
          <w:tcPr>
            <w:tcW w:type="dxa" w:w="25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Underlying ranking</w:t>
            </w:r>
          </w:p>
        </w:tc>
        <w:tc>
          <w:tcPr>
            <w:tcW w:type="dxa" w:w="68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The committee’s straight résumé order before automatic-access and protected-benefit rules are applied.</w:t>
            </w:r>
          </w:p>
        </w:tc>
      </w:tr>
      <w:tr>
        <w:trPr>
          <w:cantSplit w:val="true"/>
          <w:trHeight w:hRule="auto"/>
        </w:trPr>
        <w:tc>
          <w:tcPr>
            <w:tcW w:type="dxa" w:w="25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Benefit tier</w:t>
            </w:r>
          </w:p>
        </w:tc>
        <w:tc>
          <w:tcPr>
            <w:tcW w:type="dxa" w:w="68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The competitive advantage attached to a ranking band: double bye, single bye, first-round home game, or berth.</w:t>
            </w:r>
          </w:p>
        </w:tc>
      </w:tr>
    </w:tbl>
    <w:p>
      <w:pPr>
        <w:spacing w:before="0" w:after="40"/>
      </w:pPr>
    </w:p>
    <w:p>
      <w:pPr>
        <w:pStyle w:val="Heading2"/>
        <w:keepNext/>
        <w:keepLines/>
      </w:pPr>
      <w:r>
        <w:t>1.2 Durable Power Four designation</w:t>
      </w:r>
    </w:p>
    <w:p>
      <w:pPr>
        <w:spacing w:before="0"/>
      </w:pPr>
      <w:r>
        <w:rPr>
          <w:rFonts w:ascii="Calibri" w:hAnsi="Calibri"/>
          <w:b w:val="0"/>
          <w:i w:val="0"/>
        </w:rPr>
        <w:t>For this framework, a Power Four conference is an FBS conference holding a designated conference-champion automatic-access position and a guaranteed conference-champion bye under the CFP participation agreement in effect for that season. The designation attaches to the conference, not to an individually named institution. It therefore remains administrable when institutions change membership and avoids embedding a list of institutions in the competition rule.</w:t>
      </w:r>
    </w:p>
    <w:p>
      <w:pPr>
        <w:numPr>
          <w:ilvl w:val="0"/>
          <w:numId w:val="10"/>
        </w:numPr>
        <w:spacing w:after="80" w:line="290" w:lineRule="auto"/>
        <w:ind w:left="540" w:hanging="279"/>
        <w:keepLines/>
      </w:pPr>
      <w:r>
        <w:rPr>
          <w:rFonts w:ascii="Calibri" w:hAnsi="Calibri"/>
        </w:rPr>
        <w:t>An institution is classified by its football conference membership on July 1 preceding the season. A move effective after that date applies to the following season unless the governing council approves an emergency correction before the first permissible contest.</w:t>
      </w:r>
    </w:p>
    <w:p>
      <w:pPr>
        <w:numPr>
          <w:ilvl w:val="0"/>
          <w:numId w:val="10"/>
        </w:numPr>
        <w:spacing w:after="80" w:line="290" w:lineRule="auto"/>
        <w:ind w:left="540" w:hanging="279"/>
        <w:keepLines/>
      </w:pPr>
      <w:r>
        <w:rPr>
          <w:rFonts w:ascii="Calibri" w:hAnsi="Calibri"/>
        </w:rPr>
        <w:t>An independent institution is never classified as Power Four solely because of reputation, schedule, media value, or a separate postseason agreement; it competes under the independent-institution rules.</w:t>
      </w:r>
    </w:p>
    <w:p>
      <w:pPr>
        <w:numPr>
          <w:ilvl w:val="0"/>
          <w:numId w:val="10"/>
        </w:numPr>
        <w:spacing w:after="80" w:line="290" w:lineRule="auto"/>
        <w:ind w:left="540" w:hanging="279"/>
        <w:keepLines/>
      </w:pPr>
      <w:r>
        <w:rPr>
          <w:rFonts w:ascii="Calibri" w:hAnsi="Calibri"/>
        </w:rPr>
        <w:t>A conference may gain or lose Power Four designation only through an amendment to the CFP participation agreement approved at least two seasons before it takes effect, except when legal necessity or conference dissolution makes ordinary notice impossible.</w:t>
      </w:r>
    </w:p>
    <w:p>
      <w:pPr>
        <w:numPr>
          <w:ilvl w:val="0"/>
          <w:numId w:val="10"/>
        </w:numPr>
        <w:spacing w:after="80" w:line="290" w:lineRule="auto"/>
        <w:ind w:left="540" w:hanging="279"/>
        <w:keepLines/>
      </w:pPr>
      <w:r>
        <w:rPr>
          <w:rFonts w:ascii="Calibri" w:hAnsi="Calibri"/>
        </w:rPr>
        <w:t>The designation controls automatic access, championship-bye treatment, schedule standards, revenue rules, and National Tournament eligibility. It does not determine institutional worth or permanently divide FBS.</w:t>
      </w:r>
    </w:p>
    <w:p>
      <w:pPr>
        <w:pStyle w:val="Heading1"/>
        <w:keepNext/>
        <w:keepLines/>
      </w:pPr>
      <w:r>
        <w:t>2. The 18-Team College Football Playoff</w:t>
      </w:r>
    </w:p>
    <w:p>
      <w:pPr>
        <w:pStyle w:val="ProposalLead"/>
        <w:spacing w:before="0"/>
      </w:pPr>
      <w:r>
        <w:rPr>
          <w:rFonts w:ascii="Calibri" w:hAnsi="Calibri"/>
          <w:b w:val="0"/>
          <w:i w:val="0"/>
        </w:rPr>
        <w:t>The 18-team structure is the mathematical center of the proposal. It is large enough to broaden access but uses two layers of byes to make elite regular-season performance more valuable than it would be in a flat 16-team bracket.</w:t>
      </w:r>
    </w:p>
    <w:tbl>
      <w:tblPr>
        <w:tblW w:type="dxa" w:w="9360"/>
        <w:jc w:val="left"/>
        <w:tblLayout w:type="fixed"/>
        <w:tblLook w:firstColumn="1" w:firstRow="1" w:lastColumn="0" w:lastRow="0" w:noHBand="0" w:noVBand="1" w:val="04A0"/>
        <w:tblInd w:type="dxa" w:w="120"/>
      </w:tblPr>
      <w:tblGrid>
        <w:gridCol w:w="1400"/>
        <w:gridCol w:w="1700"/>
        <w:gridCol w:w="1800"/>
        <w:gridCol w:w="4460"/>
      </w:tblGrid>
      <w:tr>
        <w:trPr>
          <w:trHeight w:hRule="auto"/>
          <w:cantSplit w:val="true"/>
          <w:tblHeader w:val="true"/>
        </w:trPr>
        <w:tc>
          <w:tcPr>
            <w:tcW w:type="dxa" w:w="14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center"/>
              <w:keepLines/>
            </w:pPr>
            <w:r>
              <w:rPr>
                <w:rFonts w:ascii="Calibri" w:hAnsi="Calibri"/>
                <w:b/>
                <w:color w:val="0B2545"/>
                <w:sz w:val="18"/>
              </w:rPr>
              <w:t>Assigned benefit band</w:t>
            </w:r>
          </w:p>
        </w:tc>
        <w:tc>
          <w:tcPr>
            <w:tcW w:type="dxa" w:w="17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center"/>
              <w:keepLines/>
            </w:pPr>
            <w:r>
              <w:rPr>
                <w:rFonts w:ascii="Calibri" w:hAnsi="Calibri"/>
                <w:b/>
                <w:color w:val="0B2545"/>
                <w:sz w:val="18"/>
              </w:rPr>
              <w:t>Entry point</w:t>
            </w:r>
          </w:p>
        </w:tc>
        <w:tc>
          <w:tcPr>
            <w:tcW w:type="dxa" w:w="18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center"/>
              <w:keepLines/>
            </w:pPr>
            <w:r>
              <w:rPr>
                <w:rFonts w:ascii="Calibri" w:hAnsi="Calibri"/>
                <w:b/>
                <w:color w:val="0B2545"/>
                <w:sz w:val="18"/>
              </w:rPr>
              <w:t>Wins required for title</w:t>
            </w:r>
          </w:p>
        </w:tc>
        <w:tc>
          <w:tcPr>
            <w:tcW w:type="dxa" w:w="446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Primary benefit</w:t>
            </w:r>
          </w:p>
        </w:tc>
      </w:tr>
      <w:tr>
        <w:trPr>
          <w:cantSplit w:val="true"/>
          <w:trHeight w:hRule="auto"/>
        </w:trPr>
        <w:tc>
          <w:tcPr>
            <w:tcW w:type="dxa" w:w="14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Double-bye group (2)</w:t>
            </w:r>
          </w:p>
        </w:tc>
        <w:tc>
          <w:tcPr>
            <w:tcW w:type="dxa" w:w="1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Quarterfinals</w:t>
            </w:r>
          </w:p>
        </w:tc>
        <w:tc>
          <w:tcPr>
            <w:tcW w:type="dxa" w:w="18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3</w:t>
            </w:r>
          </w:p>
        </w:tc>
        <w:tc>
          <w:tcPr>
            <w:tcW w:type="dxa" w:w="44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Two byes; campus quarterfinal; strongest reseeding priority</w:t>
            </w:r>
          </w:p>
        </w:tc>
      </w:tr>
      <w:tr>
        <w:trPr>
          <w:cantSplit w:val="true"/>
          <w:trHeight w:hRule="auto"/>
        </w:trPr>
        <w:tc>
          <w:tcPr>
            <w:tcW w:type="dxa" w:w="14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Single-bye group (8)</w:t>
            </w:r>
          </w:p>
        </w:tc>
        <w:tc>
          <w:tcPr>
            <w:tcW w:type="dxa" w:w="1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Round 2</w:t>
            </w:r>
          </w:p>
        </w:tc>
        <w:tc>
          <w:tcPr>
            <w:tcW w:type="dxa" w:w="18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4</w:t>
            </w:r>
          </w:p>
        </w:tc>
        <w:tc>
          <w:tcPr>
            <w:tcW w:type="dxa" w:w="44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One bye; avoids the opening round</w:t>
            </w:r>
          </w:p>
        </w:tc>
      </w:tr>
      <w:tr>
        <w:trPr>
          <w:cantSplit w:val="true"/>
          <w:trHeight w:hRule="auto"/>
        </w:trPr>
        <w:tc>
          <w:tcPr>
            <w:tcW w:type="dxa" w:w="14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Opening-round home group (4)</w:t>
            </w:r>
          </w:p>
        </w:tc>
        <w:tc>
          <w:tcPr>
            <w:tcW w:type="dxa" w:w="1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Round 1</w:t>
            </w:r>
          </w:p>
        </w:tc>
        <w:tc>
          <w:tcPr>
            <w:tcW w:type="dxa" w:w="18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5</w:t>
            </w:r>
          </w:p>
        </w:tc>
        <w:tc>
          <w:tcPr>
            <w:tcW w:type="dxa" w:w="44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CFP berth and campus opening game</w:t>
            </w:r>
          </w:p>
        </w:tc>
      </w:tr>
      <w:tr>
        <w:trPr>
          <w:cantSplit w:val="true"/>
          <w:trHeight w:hRule="auto"/>
        </w:trPr>
        <w:tc>
          <w:tcPr>
            <w:tcW w:type="dxa" w:w="14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Opening-round road group (4)</w:t>
            </w:r>
          </w:p>
        </w:tc>
        <w:tc>
          <w:tcPr>
            <w:tcW w:type="dxa" w:w="1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Round 1</w:t>
            </w:r>
          </w:p>
        </w:tc>
        <w:tc>
          <w:tcPr>
            <w:tcW w:type="dxa" w:w="18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5</w:t>
            </w:r>
          </w:p>
        </w:tc>
        <w:tc>
          <w:tcPr>
            <w:tcW w:type="dxa" w:w="44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CFP berth; road opening game</w:t>
            </w:r>
          </w:p>
        </w:tc>
      </w:tr>
    </w:tbl>
    <w:p>
      <w:pPr>
        <w:spacing w:before="0" w:after="40"/>
      </w:pPr>
    </w:p>
    <w:p>
      <w:pPr>
        <w:pStyle w:val="Heading2"/>
        <w:keepNext/>
        <w:keepLines/>
      </w:pPr>
      <w:r>
        <w:t>2.1 Why 18 works</w:t>
      </w:r>
    </w:p>
    <w:p>
      <w:pPr>
        <w:spacing w:before="0"/>
      </w:pPr>
      <w:r>
        <w:rPr>
          <w:rFonts w:ascii="Calibri" w:hAnsi="Calibri"/>
          <w:b w:val="0"/>
          <w:i w:val="0"/>
        </w:rPr>
        <w:t>The bracket works backward from an eight-team quarterfinal. The top two teams wait there. Round 2 must therefore produce six winners, so Round 2 must contain 12 teams. Eight single-bye teams plus four opening-round winners create exactly that field.</w:t>
      </w:r>
    </w:p>
    <w:p>
      <w:pPr>
        <w:spacing w:before="120" w:after="200" w:line="288" w:lineRule="auto"/>
        <w:ind w:left="259" w:right="115"/>
        <w:shd w:fill="F4F6F9"/>
        <w:pBdr>
          <w:left w:val="single" w:sz="18" w:space="6" w:color="2E74B5"/>
        </w:pBdr>
        <w:keepLines/>
      </w:pPr>
      <w:r>
        <w:rPr>
          <w:rFonts w:ascii="Calibri" w:hAnsi="Calibri"/>
          <w:b/>
          <w:color w:val="2E74B5"/>
          <w:sz w:val="20"/>
        </w:rPr>
        <w:t xml:space="preserve">BRACKET MATH  </w:t>
      </w:r>
      <w:r>
        <w:rPr>
          <w:rFonts w:ascii="Calibri" w:hAnsi="Calibri"/>
          <w:color w:val="0B2545"/>
          <w:sz w:val="21"/>
        </w:rPr>
        <w:t>18 teams → 12 teams → 8 teams → 4 teams → 2 teams → national champion.</w:t>
      </w:r>
    </w:p>
    <w:p>
      <w:pPr>
        <w:pStyle w:val="Heading2"/>
        <w:keepNext/>
        <w:keepLines/>
      </w:pPr>
      <w:r>
        <w:t>2.2 Selection and access</w:t>
      </w:r>
    </w:p>
    <w:p>
      <w:pPr>
        <w:numPr>
          <w:ilvl w:val="0"/>
          <w:numId w:val="10"/>
        </w:numPr>
        <w:spacing w:after="80" w:line="290" w:lineRule="auto"/>
        <w:ind w:left="540" w:hanging="279"/>
        <w:keepLines/>
      </w:pPr>
      <w:r>
        <w:rPr>
          <w:rFonts w:ascii="Calibri" w:hAnsi="Calibri"/>
        </w:rPr>
        <w:t>The committee ranks all teams in straight résumé order before applying access and benefit rules.</w:t>
      </w:r>
    </w:p>
    <w:p>
      <w:pPr>
        <w:numPr>
          <w:ilvl w:val="0"/>
          <w:numId w:val="10"/>
        </w:numPr>
        <w:spacing w:after="80" w:line="290" w:lineRule="auto"/>
        <w:ind w:left="540" w:hanging="279"/>
        <w:keepLines/>
      </w:pPr>
      <w:r>
        <w:rPr>
          <w:rFonts w:ascii="Calibri" w:hAnsi="Calibri"/>
        </w:rPr>
        <w:t>Every Power Four conference champion receives automatic CFP access. The highest-ranked champion from outside the Power Four also receives automatic access, creating five automatic conference-champion positions.</w:t>
      </w:r>
    </w:p>
    <w:p>
      <w:pPr>
        <w:numPr>
          <w:ilvl w:val="0"/>
          <w:numId w:val="10"/>
        </w:numPr>
        <w:spacing w:after="80" w:line="290" w:lineRule="auto"/>
        <w:ind w:left="540" w:hanging="279"/>
        <w:keepLines/>
      </w:pPr>
      <w:r>
        <w:rPr>
          <w:rFonts w:ascii="Calibri" w:hAnsi="Calibri"/>
        </w:rPr>
        <w:t>Each Power Four champion receives at least a single bye into Round 2, subject to the fixed-capacity priority rule in Section 3.1; the bye does not alter the institution’s underlying ranking.</w:t>
      </w:r>
    </w:p>
    <w:p>
      <w:pPr>
        <w:numPr>
          <w:ilvl w:val="0"/>
          <w:numId w:val="10"/>
        </w:numPr>
        <w:spacing w:after="80" w:line="290" w:lineRule="auto"/>
        <w:ind w:left="540" w:hanging="279"/>
        <w:keepLines/>
      </w:pPr>
      <w:r>
        <w:rPr>
          <w:rFonts w:ascii="Calibri" w:hAnsi="Calibri"/>
        </w:rPr>
        <w:t>After the two double-bye positions are assigned, the eight single-bye positions are filled under the access-and-protection hierarchy in Section 3.1. Remaining institutions enter the opening-round home and road groups in underlying ranking order.</w:t>
      </w:r>
    </w:p>
    <w:p>
      <w:pPr>
        <w:numPr>
          <w:ilvl w:val="0"/>
          <w:numId w:val="10"/>
        </w:numPr>
        <w:spacing w:after="80" w:line="290" w:lineRule="auto"/>
        <w:ind w:left="540" w:hanging="279"/>
        <w:keepLines/>
      </w:pPr>
      <w:r>
        <w:rPr>
          <w:rFonts w:ascii="Calibri" w:hAnsi="Calibri"/>
        </w:rPr>
        <w:t>The automatic champion from outside the Power Four receives access, not an automatic bye: if ranked outside the top 18, it enters at the bottom of the field and plays on the road in Round 1.</w:t>
      </w:r>
    </w:p>
    <w:p>
      <w:pPr>
        <w:numPr>
          <w:ilvl w:val="0"/>
          <w:numId w:val="10"/>
        </w:numPr>
        <w:spacing w:after="80" w:line="290" w:lineRule="auto"/>
        <w:ind w:left="540" w:hanging="279"/>
        <w:keepLines/>
      </w:pPr>
      <w:r>
        <w:rPr>
          <w:rFonts w:ascii="Calibri" w:hAnsi="Calibri"/>
        </w:rPr>
        <w:t>The Nos. 1–2 double byes remain fundamentally merit-based, subject to the Championship Protection rule in Section 3.</w:t>
      </w:r>
    </w:p>
    <w:p>
      <w:pPr>
        <w:numPr>
          <w:ilvl w:val="0"/>
          <w:numId w:val="10"/>
        </w:numPr>
        <w:spacing w:after="80" w:line="290" w:lineRule="auto"/>
        <w:ind w:left="540" w:hanging="279"/>
        <w:keepLines/>
      </w:pPr>
      <w:r>
        <w:rPr>
          <w:rFonts w:ascii="Calibri" w:hAnsi="Calibri"/>
        </w:rPr>
        <w:t>There is no per-conference cap in the CFP; access is earned through championship qualification and at-large résumé strength.</w:t>
      </w:r>
    </w:p>
    <w:p>
      <w:pPr>
        <w:pStyle w:val="Heading2"/>
        <w:keepNext/>
        <w:keepLines/>
      </w:pPr>
      <w:r>
        <w:t>2.3 Round-by-round operation</w:t>
      </w:r>
    </w:p>
    <w:tbl>
      <w:tblPr>
        <w:tblW w:type="dxa" w:w="9360"/>
        <w:jc w:val="left"/>
        <w:tblLayout w:type="fixed"/>
        <w:tblLook w:firstColumn="1" w:firstRow="1" w:lastColumn="0" w:lastRow="0" w:noHBand="0" w:noVBand="1" w:val="04A0"/>
        <w:tblInd w:type="dxa" w:w="120"/>
      </w:tblPr>
      <w:tblGrid>
        <w:gridCol w:w="1650"/>
        <w:gridCol w:w="1750"/>
        <w:gridCol w:w="1500"/>
        <w:gridCol w:w="4460"/>
      </w:tblGrid>
      <w:tr>
        <w:trPr>
          <w:trHeight w:hRule="auto"/>
          <w:cantSplit w:val="true"/>
          <w:tblHeader w:val="true"/>
        </w:trPr>
        <w:tc>
          <w:tcPr>
            <w:tcW w:type="dxa" w:w="165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7"/>
              </w:rPr>
              <w:t>Stage</w:t>
            </w:r>
          </w:p>
        </w:tc>
        <w:tc>
          <w:tcPr>
            <w:tcW w:type="dxa" w:w="175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7"/>
              </w:rPr>
              <w:t>Timing</w:t>
            </w:r>
          </w:p>
        </w:tc>
        <w:tc>
          <w:tcPr>
            <w:tcW w:type="dxa" w:w="15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7"/>
              </w:rPr>
              <w:t>Site</w:t>
            </w:r>
          </w:p>
        </w:tc>
        <w:tc>
          <w:tcPr>
            <w:tcW w:type="dxa" w:w="446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7"/>
              </w:rPr>
              <w:t>Operation</w:t>
            </w:r>
          </w:p>
        </w:tc>
      </w:tr>
      <w:tr>
        <w:trPr>
          <w:cantSplit w:val="true"/>
          <w:trHeight w:hRule="auto"/>
        </w:trPr>
        <w:tc>
          <w:tcPr>
            <w:tcW w:type="dxa" w:w="16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Round 1</w:t>
            </w:r>
          </w:p>
        </w:tc>
        <w:tc>
          <w:tcPr>
            <w:tcW w:type="dxa" w:w="17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First weekend after conference titles</w:t>
            </w:r>
          </w:p>
        </w:tc>
        <w:tc>
          <w:tcPr>
            <w:tcW w:type="dxa" w:w="15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Campus</w:t>
            </w:r>
          </w:p>
        </w:tc>
        <w:tc>
          <w:tcPr>
            <w:tcW w:type="dxa" w:w="44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11–18; 12–17; 13–16; 14–15. Higher-ranked team hosts.</w:t>
            </w:r>
          </w:p>
        </w:tc>
      </w:tr>
      <w:tr>
        <w:trPr>
          <w:cantSplit w:val="true"/>
          <w:trHeight w:hRule="auto"/>
        </w:trPr>
        <w:tc>
          <w:tcPr>
            <w:tcW w:type="dxa" w:w="16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Round 2: CFP Bowl Weekend</w:t>
            </w:r>
          </w:p>
        </w:tc>
        <w:tc>
          <w:tcPr>
            <w:tcW w:type="dxa" w:w="17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Following weekend</w:t>
            </w:r>
          </w:p>
        </w:tc>
        <w:tc>
          <w:tcPr>
            <w:tcW w:type="dxa" w:w="15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Six premier bowls</w:t>
            </w:r>
          </w:p>
        </w:tc>
        <w:tc>
          <w:tcPr>
            <w:tcW w:type="dxa" w:w="44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Eight single-bye institutions enter. Reseed all 12 institutions by underlying final ranking; highest plays lowest.</w:t>
            </w:r>
          </w:p>
        </w:tc>
      </w:tr>
      <w:tr>
        <w:trPr>
          <w:cantSplit w:val="true"/>
          <w:trHeight w:hRule="auto"/>
        </w:trPr>
        <w:tc>
          <w:tcPr>
            <w:tcW w:type="dxa" w:w="16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Christmas</w:t>
            </w:r>
          </w:p>
        </w:tc>
        <w:tc>
          <w:tcPr>
            <w:tcW w:type="dxa" w:w="17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Holiday week</w:t>
            </w:r>
          </w:p>
        </w:tc>
        <w:tc>
          <w:tcPr>
            <w:tcW w:type="dxa" w:w="15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No games</w:t>
            </w:r>
          </w:p>
        </w:tc>
        <w:tc>
          <w:tcPr>
            <w:tcW w:type="dxa" w:w="44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A genuine recovery and family period.</w:t>
            </w:r>
          </w:p>
        </w:tc>
      </w:tr>
      <w:tr>
        <w:trPr>
          <w:cantSplit w:val="true"/>
          <w:trHeight w:hRule="auto"/>
        </w:trPr>
        <w:tc>
          <w:tcPr>
            <w:tcW w:type="dxa" w:w="16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Quarterfinals</w:t>
            </w:r>
          </w:p>
        </w:tc>
        <w:tc>
          <w:tcPr>
            <w:tcW w:type="dxa" w:w="17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Jan. 1–2 window</w:t>
            </w:r>
          </w:p>
        </w:tc>
        <w:tc>
          <w:tcPr>
            <w:tcW w:type="dxa" w:w="15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Campus</w:t>
            </w:r>
          </w:p>
        </w:tc>
        <w:tc>
          <w:tcPr>
            <w:tcW w:type="dxa" w:w="44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The two double-bye institutions enter. Reseed the eight survivors; four higher-ranked institutions host. Bracket then locks.</w:t>
            </w:r>
          </w:p>
        </w:tc>
      </w:tr>
      <w:tr>
        <w:trPr>
          <w:cantSplit w:val="true"/>
          <w:trHeight w:hRule="auto"/>
        </w:trPr>
        <w:tc>
          <w:tcPr>
            <w:tcW w:type="dxa" w:w="16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Semifinals</w:t>
            </w:r>
          </w:p>
        </w:tc>
        <w:tc>
          <w:tcPr>
            <w:tcW w:type="dxa" w:w="17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Following weekend</w:t>
            </w:r>
          </w:p>
        </w:tc>
        <w:tc>
          <w:tcPr>
            <w:tcW w:type="dxa" w:w="15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Campus</w:t>
            </w:r>
          </w:p>
        </w:tc>
        <w:tc>
          <w:tcPr>
            <w:tcW w:type="dxa" w:w="44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Higher original CFP seed hosts each locked-bracket semifinal.</w:t>
            </w:r>
          </w:p>
        </w:tc>
      </w:tr>
      <w:tr>
        <w:trPr>
          <w:cantSplit w:val="true"/>
          <w:trHeight w:hRule="auto"/>
        </w:trPr>
        <w:tc>
          <w:tcPr>
            <w:tcW w:type="dxa" w:w="16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National championship</w:t>
            </w:r>
          </w:p>
        </w:tc>
        <w:tc>
          <w:tcPr>
            <w:tcW w:type="dxa" w:w="17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Following weekend</w:t>
            </w:r>
          </w:p>
        </w:tc>
        <w:tc>
          <w:tcPr>
            <w:tcW w:type="dxa" w:w="15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Neutral site</w:t>
            </w:r>
          </w:p>
        </w:tc>
        <w:tc>
          <w:tcPr>
            <w:tcW w:type="dxa" w:w="44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Single title game; season completed around mid-January.</w:t>
            </w:r>
          </w:p>
        </w:tc>
      </w:tr>
    </w:tbl>
    <w:p>
      <w:pPr>
        <w:spacing w:before="0" w:after="40"/>
      </w:pPr>
    </w:p>
    <w:p>
      <w:pPr>
        <w:pStyle w:val="Heading2"/>
        <w:keepNext/>
        <w:keepLines/>
      </w:pPr>
      <w:r>
        <w:t>2.4 Reseeding rule</w:t>
      </w:r>
    </w:p>
    <w:p>
      <w:pPr>
        <w:spacing w:before="0"/>
      </w:pPr>
      <w:r>
        <w:rPr>
          <w:rFonts w:ascii="Calibri" w:hAnsi="Calibri"/>
          <w:b w:val="0"/>
          <w:i w:val="0"/>
        </w:rPr>
        <w:t>Reseeding occurs twice: after Round 1 and after Round 2. At each reseed, teams are ordered by the committee’s underlying final ranking—not by any administrative seed granted to implement a conference-champion bye. The highest remaining team plays the lowest, the second-highest plays the second-lowest, and so on. The bracket locks once the quarterfinals are set so fans retain a recognizable Final Four path.</w:t>
      </w:r>
    </w:p>
    <w:p>
      <w:pPr>
        <w:spacing w:before="120" w:after="200" w:line="288" w:lineRule="auto"/>
        <w:ind w:left="259" w:right="115"/>
        <w:shd w:fill="F7F0D8"/>
        <w:pBdr>
          <w:left w:val="single" w:sz="18" w:space="6" w:color="7A5A00"/>
        </w:pBdr>
        <w:keepLines/>
      </w:pPr>
      <w:r>
        <w:rPr>
          <w:rFonts w:ascii="Calibri" w:hAnsi="Calibri"/>
          <w:b/>
          <w:color w:val="7A5A00"/>
          <w:sz w:val="20"/>
        </w:rPr>
        <w:t xml:space="preserve">ILLUSTRATION  </w:t>
      </w:r>
      <w:r>
        <w:rPr>
          <w:rFonts w:ascii="Calibri" w:hAnsi="Calibri"/>
          <w:color w:val="0B2545"/>
          <w:sz w:val="21"/>
        </w:rPr>
        <w:t>If a Power Four conference champion ranked No. 17 receives a Round 1 bye, that team is still the lowest-ranked member of the Round 2 pool and draws the highest-ranked available opponent. The reward is the bye—not a falsely favorable seed.</w:t>
      </w:r>
    </w:p>
    <w:p>
      <w:pPr>
        <w:pStyle w:val="Heading2"/>
        <w:keepNext/>
        <w:keepLines/>
      </w:pPr>
      <w:r>
        <w:t>2.5 Why every assigned position matters</w:t>
      </w:r>
    </w:p>
    <w:tbl>
      <w:tblPr>
        <w:tblW w:type="dxa" w:w="9360"/>
        <w:jc w:val="left"/>
        <w:tblLayout w:type="fixed"/>
        <w:tblLook w:firstColumn="1" w:firstRow="1" w:lastColumn="0" w:lastRow="0" w:noHBand="0" w:noVBand="1" w:val="04A0"/>
        <w:tblInd w:type="dxa" w:w="120"/>
      </w:tblPr>
      <w:tblGrid>
        <w:gridCol w:w="2400"/>
        <w:gridCol w:w="6960"/>
      </w:tblGrid>
      <w:tr>
        <w:trPr>
          <w:trHeight w:hRule="auto"/>
          <w:cantSplit w:val="true"/>
          <w:tblHeader w:val="true"/>
        </w:trPr>
        <w:tc>
          <w:tcPr>
            <w:tcW w:type="dxa" w:w="24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Assigned benefit group</w:t>
            </w:r>
          </w:p>
        </w:tc>
        <w:tc>
          <w:tcPr>
            <w:tcW w:type="dxa" w:w="696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Value</w:t>
            </w:r>
          </w:p>
        </w:tc>
      </w:tr>
      <w:tr>
        <w:trPr>
          <w:cantSplit w:val="true"/>
          <w:trHeight w:hRule="auto"/>
        </w:trPr>
        <w:tc>
          <w:tcPr>
            <w:tcW w:type="dxa" w:w="24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Double-bye group</w:t>
            </w:r>
          </w:p>
        </w:tc>
        <w:tc>
          <w:tcPr>
            <w:tcW w:type="dxa" w:w="69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Three wins for the title; holiday rest; campus quarterfinal; strongest reseeding priority.</w:t>
            </w:r>
          </w:p>
        </w:tc>
      </w:tr>
      <w:tr>
        <w:trPr>
          <w:cantSplit w:val="true"/>
          <w:trHeight w:hRule="auto"/>
        </w:trPr>
        <w:tc>
          <w:tcPr>
            <w:tcW w:type="dxa" w:w="24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Upper single-bye group</w:t>
            </w:r>
          </w:p>
        </w:tc>
        <w:tc>
          <w:tcPr>
            <w:tcW w:type="dxa" w:w="69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One bye and stronger Round 2 matchup position; strong path to hosting after the next reseed.</w:t>
            </w:r>
          </w:p>
        </w:tc>
      </w:tr>
      <w:tr>
        <w:trPr>
          <w:cantSplit w:val="true"/>
          <w:trHeight w:hRule="auto"/>
        </w:trPr>
        <w:tc>
          <w:tcPr>
            <w:tcW w:type="dxa" w:w="24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Lower single-bye group</w:t>
            </w:r>
          </w:p>
        </w:tc>
        <w:tc>
          <w:tcPr>
            <w:tcW w:type="dxa" w:w="69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One bye, but likely a difficult Round 2 draw.</w:t>
            </w:r>
          </w:p>
        </w:tc>
      </w:tr>
      <w:tr>
        <w:trPr>
          <w:cantSplit w:val="true"/>
          <w:trHeight w:hRule="auto"/>
        </w:trPr>
        <w:tc>
          <w:tcPr>
            <w:tcW w:type="dxa" w:w="24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Opening-round home group</w:t>
            </w:r>
          </w:p>
        </w:tc>
        <w:tc>
          <w:tcPr>
            <w:tcW w:type="dxa" w:w="69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No bye, but a campus opening game.</w:t>
            </w:r>
          </w:p>
        </w:tc>
      </w:tr>
      <w:tr>
        <w:trPr>
          <w:cantSplit w:val="true"/>
          <w:trHeight w:hRule="auto"/>
        </w:trPr>
        <w:tc>
          <w:tcPr>
            <w:tcW w:type="dxa" w:w="24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Opening-round road group</w:t>
            </w:r>
          </w:p>
        </w:tc>
        <w:tc>
          <w:tcPr>
            <w:tcW w:type="dxa" w:w="69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Access to the championship path, beginning on the road.</w:t>
            </w:r>
          </w:p>
        </w:tc>
      </w:tr>
    </w:tbl>
    <w:p>
      <w:pPr>
        <w:spacing w:before="0" w:after="40"/>
      </w:pPr>
    </w:p>
    <w:p>
      <w:pPr>
        <w:pStyle w:val="Heading1"/>
        <w:keepNext/>
        <w:keepLines/>
      </w:pPr>
      <w:r>
        <w:t>3. Conference Championships: Protection and Reward</w:t>
      </w:r>
    </w:p>
    <w:p>
      <w:pPr>
        <w:pStyle w:val="ProposalLead"/>
        <w:spacing w:before="0"/>
      </w:pPr>
      <w:r>
        <w:rPr>
          <w:rFonts w:ascii="Calibri" w:hAnsi="Calibri"/>
          <w:b w:val="0"/>
          <w:i w:val="0"/>
        </w:rPr>
        <w:t>Conference championships should be aspirational, not punitive. The regular season establishes a participant’s protected position in the allocation order; Championship Saturday establishes its opportunity to improve.</w:t>
      </w:r>
    </w:p>
    <w:p>
      <w:pPr>
        <w:pStyle w:val="Heading2"/>
        <w:keepNext/>
        <w:keepLines/>
      </w:pPr>
      <w:r>
        <w:t>3.1 Championship Protection</w:t>
      </w:r>
    </w:p>
    <w:p>
      <w:pPr>
        <w:spacing w:before="0"/>
      </w:pPr>
      <w:r>
        <w:rPr>
          <w:rFonts w:ascii="Calibri" w:hAnsi="Calibri"/>
          <w:b w:val="0"/>
          <w:i w:val="0"/>
        </w:rPr>
        <w:t>The committee publishes an official post-regular-season ranking immediately after Thanksgiving rivalry games. For every team required to play an additional conference championship contest, that ranking locks an earned benefit claim. The result of the additional game may affect order and opponent, but it may not by itself remove the claim. Mandatory conference-champion guarantees and fixed bracket capacity are applied through the hierarchy below.</w:t>
      </w:r>
    </w:p>
    <w:tbl>
      <w:tblPr>
        <w:tblW w:type="dxa" w:w="9360"/>
        <w:jc w:val="left"/>
        <w:tblLayout w:type="fixed"/>
        <w:tblLook w:firstColumn="1" w:firstRow="1" w:lastColumn="0" w:lastRow="0" w:noHBand="0" w:noVBand="1" w:val="04A0"/>
        <w:tblInd w:type="dxa" w:w="120"/>
      </w:tblPr>
      <w:tblGrid>
        <w:gridCol w:w="2300"/>
        <w:gridCol w:w="7060"/>
      </w:tblGrid>
      <w:tr>
        <w:trPr>
          <w:trHeight w:hRule="auto"/>
          <w:cantSplit w:val="true"/>
          <w:tblHeader w:val="true"/>
        </w:trPr>
        <w:tc>
          <w:tcPr>
            <w:tcW w:type="dxa" w:w="23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Pre-title position</w:t>
            </w:r>
          </w:p>
        </w:tc>
        <w:tc>
          <w:tcPr>
            <w:tcW w:type="dxa" w:w="706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Protected claim before capacity reconciliation</w:t>
            </w:r>
          </w:p>
        </w:tc>
      </w:tr>
      <w:tr>
        <w:trPr>
          <w:cantSplit w:val="true"/>
          <w:trHeight w:hRule="auto"/>
        </w:trPr>
        <w:tc>
          <w:tcPr>
            <w:tcW w:type="dxa" w:w="2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Nos. 1–2</w:t>
            </w:r>
          </w:p>
        </w:tc>
        <w:tc>
          <w:tcPr>
            <w:tcW w:type="dxa" w:w="70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Double bye</w:t>
            </w:r>
          </w:p>
        </w:tc>
      </w:tr>
      <w:tr>
        <w:trPr>
          <w:cantSplit w:val="true"/>
          <w:trHeight w:hRule="auto"/>
        </w:trPr>
        <w:tc>
          <w:tcPr>
            <w:tcW w:type="dxa" w:w="2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Nos. 3–10</w:t>
            </w:r>
          </w:p>
        </w:tc>
        <w:tc>
          <w:tcPr>
            <w:tcW w:type="dxa" w:w="70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Single bye</w:t>
            </w:r>
          </w:p>
        </w:tc>
      </w:tr>
      <w:tr>
        <w:trPr>
          <w:cantSplit w:val="true"/>
          <w:trHeight w:hRule="auto"/>
        </w:trPr>
        <w:tc>
          <w:tcPr>
            <w:tcW w:type="dxa" w:w="2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Nos. 11–14</w:t>
            </w:r>
          </w:p>
        </w:tc>
        <w:tc>
          <w:tcPr>
            <w:tcW w:type="dxa" w:w="70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CFP berth and Round 1 home game</w:t>
            </w:r>
          </w:p>
        </w:tc>
      </w:tr>
      <w:tr>
        <w:trPr>
          <w:cantSplit w:val="true"/>
          <w:trHeight w:hRule="auto"/>
        </w:trPr>
        <w:tc>
          <w:tcPr>
            <w:tcW w:type="dxa" w:w="2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Nos. 15–18</w:t>
            </w:r>
          </w:p>
        </w:tc>
        <w:tc>
          <w:tcPr>
            <w:tcW w:type="dxa" w:w="70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CFP berth</w:t>
            </w:r>
          </w:p>
        </w:tc>
      </w:tr>
      <w:tr>
        <w:trPr>
          <w:cantSplit w:val="true"/>
          <w:trHeight w:hRule="auto"/>
        </w:trPr>
        <w:tc>
          <w:tcPr>
            <w:tcW w:type="dxa" w:w="2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Outside the field</w:t>
            </w:r>
          </w:p>
        </w:tc>
        <w:tc>
          <w:tcPr>
            <w:tcW w:type="dxa" w:w="70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No protected CFP benefit; a title win may create access or a bye</w:t>
            </w:r>
          </w:p>
        </w:tc>
      </w:tr>
    </w:tbl>
    <w:p>
      <w:pPr>
        <w:spacing w:before="0" w:after="40"/>
      </w:pPr>
    </w:p>
    <w:p>
      <w:pPr>
        <w:spacing w:before="0"/>
      </w:pPr>
      <w:r>
        <w:rPr>
          <w:rFonts w:ascii="Calibri" w:hAnsi="Calibri"/>
          <w:b w:val="0"/>
          <w:i w:val="0"/>
        </w:rPr>
        <w:t>Double-bye capacity remains limited to two teams. If both pre-championship Nos. 1–2 are title-game participants, those two slots are protected. If only one—or neither—is a participant, any unprotected double-bye slot is awarded through the final ranking after conference championships. This prevents a protection promise from creating more than two double byes.</w:t>
      </w:r>
    </w:p>
    <w:p>
      <w:pPr>
        <w:spacing w:before="0"/>
      </w:pPr>
      <w:r>
        <w:rPr>
          <w:rFonts w:ascii="Calibri" w:hAnsi="Calibri"/>
          <w:b w:val="0"/>
          <w:i w:val="0"/>
        </w:rPr>
        <w:t>Single-bye capacity remains limited to eight institutions. Claims are resolved in the following order: (1) Power Four conference champions not assigned a double bye; (2) conference-championship participants ranked Nos. 3–10 in the post-regular-season ranking, ordered by that ranking; and (3) remaining institutions in final underlying ranking order. If the first two categories together exceed eight claims, the lowest-ranked claimant in the second category is assigned the highest available opening-round home position. The game result itself does not lower the institution; the adjustment arises solely from the bracket’s fixed eight-bye capacity. This priority rule is provisional and should be confirmed through historical simulation before adoption.</w:t>
      </w:r>
    </w:p>
    <w:p>
      <w:pPr>
        <w:pStyle w:val="Heading2"/>
        <w:keepNext/>
        <w:keepLines/>
      </w:pPr>
      <w:r>
        <w:t>3.2 Championship rewards</w:t>
      </w:r>
    </w:p>
    <w:p>
      <w:pPr>
        <w:numPr>
          <w:ilvl w:val="0"/>
          <w:numId w:val="10"/>
        </w:numPr>
        <w:spacing w:after="80" w:line="290" w:lineRule="auto"/>
        <w:ind w:left="540" w:hanging="279"/>
        <w:keepLines/>
      </w:pPr>
      <w:r>
        <w:rPr>
          <w:rFonts w:ascii="Calibri" w:hAnsi="Calibri"/>
        </w:rPr>
        <w:t>Power Four champion: CFP berth and at least a single bye.</w:t>
      </w:r>
    </w:p>
    <w:p>
      <w:pPr>
        <w:numPr>
          <w:ilvl w:val="0"/>
          <w:numId w:val="10"/>
        </w:numPr>
        <w:spacing w:after="80" w:line="290" w:lineRule="auto"/>
        <w:ind w:left="540" w:hanging="279"/>
        <w:keepLines/>
      </w:pPr>
      <w:r>
        <w:rPr>
          <w:rFonts w:ascii="Calibri" w:hAnsi="Calibri"/>
        </w:rPr>
        <w:t>Highest-ranked champion from outside the Power Four: CFP berth.</w:t>
      </w:r>
    </w:p>
    <w:p>
      <w:pPr>
        <w:numPr>
          <w:ilvl w:val="0"/>
          <w:numId w:val="10"/>
        </w:numPr>
        <w:spacing w:after="80" w:line="290" w:lineRule="auto"/>
        <w:ind w:left="540" w:hanging="279"/>
        <w:keepLines/>
      </w:pPr>
      <w:r>
        <w:rPr>
          <w:rFonts w:ascii="Calibri" w:hAnsi="Calibri"/>
        </w:rPr>
        <w:t>Conference title: first major differentiator between otherwise comparable résumés.</w:t>
      </w:r>
    </w:p>
    <w:p>
      <w:pPr>
        <w:numPr>
          <w:ilvl w:val="0"/>
          <w:numId w:val="10"/>
        </w:numPr>
        <w:spacing w:after="80" w:line="290" w:lineRule="auto"/>
        <w:ind w:left="540" w:hanging="279"/>
        <w:keepLines/>
      </w:pPr>
      <w:r>
        <w:rPr>
          <w:rFonts w:ascii="Calibri" w:hAnsi="Calibri"/>
        </w:rPr>
        <w:t>Elite conference champion: full consideration for any unprotected double-bye slot earned through the final ranking.</w:t>
      </w:r>
    </w:p>
    <w:p>
      <w:pPr>
        <w:numPr>
          <w:ilvl w:val="0"/>
          <w:numId w:val="10"/>
        </w:numPr>
        <w:spacing w:after="80" w:line="290" w:lineRule="auto"/>
        <w:ind w:left="540" w:hanging="279"/>
        <w:keepLines/>
      </w:pPr>
      <w:r>
        <w:rPr>
          <w:rFonts w:ascii="Calibri" w:hAnsi="Calibri"/>
        </w:rPr>
        <w:t>Conference-title game participant: retains its protected claim and allocation priority while final ordering may reflect the result.</w:t>
      </w:r>
    </w:p>
    <w:p>
      <w:pPr>
        <w:pStyle w:val="Heading2"/>
        <w:keepNext/>
        <w:keepLines/>
      </w:pPr>
      <w:r>
        <w:t>3.3 Conference autonomy with a player-load guardrail</w:t>
      </w:r>
    </w:p>
    <w:p>
      <w:pPr>
        <w:spacing w:before="0"/>
      </w:pPr>
      <w:r>
        <w:rPr>
          <w:rFonts w:ascii="Calibri" w:hAnsi="Calibri"/>
          <w:b w:val="0"/>
          <w:i w:val="0"/>
        </w:rPr>
        <w:t>Conferences retain authority over how they crown a champion. A conventional top-two title game remains the recommended product. A conference may experiment with a four-team internal playoff, but if a team can be required to play two conference postseason games, the league must shorten that team’s regular-season path—for example, 11 regular-season games plus up to two conference playoff games. No conference should expand its own tournament without accounting for the national maximum game load.</w:t>
      </w:r>
    </w:p>
    <w:p>
      <w:pPr>
        <w:pStyle w:val="Heading1"/>
        <w:keepNext/>
        <w:keepLines/>
      </w:pPr>
      <w:r>
        <w:t>4. A Coherent National Calendar</w:t>
      </w:r>
    </w:p>
    <w:p>
      <w:pPr>
        <w:pStyle w:val="ProposalLead"/>
        <w:spacing w:before="0"/>
      </w:pPr>
      <w:r>
        <w:rPr>
          <w:rFonts w:ascii="Calibri" w:hAnsi="Calibri"/>
          <w:b w:val="0"/>
          <w:i w:val="0"/>
        </w:rPr>
        <w:t>The calendar should move continuously from rivalry week to the national championship, pause for Christmas, and end around mid-January. It should also recognize that late-December campuses may be empty while early-January campuses are returning to life.</w:t>
      </w:r>
    </w:p>
    <w:tbl>
      <w:tblPr>
        <w:tblW w:type="dxa" w:w="9360"/>
        <w:jc w:val="left"/>
        <w:tblLayout w:type="fixed"/>
        <w:tblLook w:firstColumn="1" w:firstRow="1" w:lastColumn="0" w:lastRow="0" w:noHBand="0" w:noVBand="1" w:val="04A0"/>
        <w:tblInd w:type="dxa" w:w="120"/>
      </w:tblPr>
      <w:tblGrid>
        <w:gridCol w:w="2100"/>
        <w:gridCol w:w="2050"/>
        <w:gridCol w:w="5210"/>
      </w:tblGrid>
      <w:tr>
        <w:trPr>
          <w:trHeight w:hRule="auto"/>
          <w:cantSplit w:val="true"/>
          <w:tblHeader w:val="true"/>
        </w:trPr>
        <w:tc>
          <w:tcPr>
            <w:tcW w:type="dxa" w:w="21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7"/>
              </w:rPr>
              <w:t>Window</w:t>
            </w:r>
          </w:p>
        </w:tc>
        <w:tc>
          <w:tcPr>
            <w:tcW w:type="dxa" w:w="205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7"/>
              </w:rPr>
              <w:t>Football event</w:t>
            </w:r>
          </w:p>
        </w:tc>
        <w:tc>
          <w:tcPr>
            <w:tcW w:type="dxa" w:w="521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7"/>
              </w:rPr>
              <w:t>Operating principle</w:t>
            </w:r>
          </w:p>
        </w:tc>
      </w:tr>
      <w:tr>
        <w:trPr>
          <w:cantSplit w:val="true"/>
          <w:trHeight w:hRule="auto"/>
        </w:trPr>
        <w:tc>
          <w:tcPr>
            <w:tcW w:type="dxa" w:w="21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Late August–Thanksgiving</w:t>
            </w:r>
          </w:p>
        </w:tc>
        <w:tc>
          <w:tcPr>
            <w:tcW w:type="dxa" w:w="20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Regular season</w:t>
            </w:r>
          </w:p>
        </w:tc>
        <w:tc>
          <w:tcPr>
            <w:tcW w:type="dxa" w:w="521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12 games in a standardized 14-week window; rivalry finales on Thanksgiving weekend.</w:t>
            </w:r>
          </w:p>
        </w:tc>
      </w:tr>
      <w:tr>
        <w:trPr>
          <w:cantSplit w:val="true"/>
          <w:trHeight w:hRule="auto"/>
        </w:trPr>
        <w:tc>
          <w:tcPr>
            <w:tcW w:type="dxa" w:w="21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First weekend of December</w:t>
            </w:r>
          </w:p>
        </w:tc>
        <w:tc>
          <w:tcPr>
            <w:tcW w:type="dxa" w:w="20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Conference championships</w:t>
            </w:r>
          </w:p>
        </w:tc>
        <w:tc>
          <w:tcPr>
            <w:tcW w:type="dxa" w:w="521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National dead period for major recruiting and roster activity begins before rivalry week.</w:t>
            </w:r>
          </w:p>
        </w:tc>
      </w:tr>
      <w:tr>
        <w:trPr>
          <w:cantSplit w:val="true"/>
          <w:trHeight w:hRule="auto"/>
        </w:trPr>
        <w:tc>
          <w:tcPr>
            <w:tcW w:type="dxa" w:w="21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Second weekend of December</w:t>
            </w:r>
          </w:p>
        </w:tc>
        <w:tc>
          <w:tcPr>
            <w:tcW w:type="dxa" w:w="20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CFP Round 1</w:t>
            </w:r>
          </w:p>
        </w:tc>
        <w:tc>
          <w:tcPr>
            <w:tcW w:type="dxa" w:w="521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Four campus games.</w:t>
            </w:r>
          </w:p>
        </w:tc>
      </w:tr>
      <w:tr>
        <w:trPr>
          <w:cantSplit w:val="true"/>
          <w:trHeight w:hRule="auto"/>
        </w:trPr>
        <w:tc>
          <w:tcPr>
            <w:tcW w:type="dxa" w:w="21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Third weekend of December</w:t>
            </w:r>
          </w:p>
        </w:tc>
        <w:tc>
          <w:tcPr>
            <w:tcW w:type="dxa" w:w="20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CFP Bowl Weekend</w:t>
            </w:r>
          </w:p>
        </w:tc>
        <w:tc>
          <w:tcPr>
            <w:tcW w:type="dxa" w:w="521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Six Round 2 games assigned to contracted premier bowl partners under published geographic and competitive criteria.</w:t>
            </w:r>
          </w:p>
        </w:tc>
      </w:tr>
      <w:tr>
        <w:trPr>
          <w:cantSplit w:val="true"/>
          <w:trHeight w:hRule="auto"/>
        </w:trPr>
        <w:tc>
          <w:tcPr>
            <w:tcW w:type="dxa" w:w="21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Christmas week</w:t>
            </w:r>
          </w:p>
        </w:tc>
        <w:tc>
          <w:tcPr>
            <w:tcW w:type="dxa" w:w="20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No CFP games</w:t>
            </w:r>
          </w:p>
        </w:tc>
        <w:tc>
          <w:tcPr>
            <w:tcW w:type="dxa" w:w="521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Recovery, family, and academic break.</w:t>
            </w:r>
          </w:p>
        </w:tc>
      </w:tr>
      <w:tr>
        <w:trPr>
          <w:cantSplit w:val="true"/>
          <w:trHeight w:hRule="auto"/>
        </w:trPr>
        <w:tc>
          <w:tcPr>
            <w:tcW w:type="dxa" w:w="21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Jan. 1–2 window</w:t>
            </w:r>
          </w:p>
        </w:tc>
        <w:tc>
          <w:tcPr>
            <w:tcW w:type="dxa" w:w="20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CFP quarterfinals</w:t>
            </w:r>
          </w:p>
        </w:tc>
        <w:tc>
          <w:tcPr>
            <w:tcW w:type="dxa" w:w="521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Four campus games; the two double-bye institutions enter.</w:t>
            </w:r>
          </w:p>
        </w:tc>
      </w:tr>
      <w:tr>
        <w:trPr>
          <w:cantSplit w:val="true"/>
          <w:trHeight w:hRule="auto"/>
        </w:trPr>
        <w:tc>
          <w:tcPr>
            <w:tcW w:type="dxa" w:w="21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Following weekend</w:t>
            </w:r>
          </w:p>
        </w:tc>
        <w:tc>
          <w:tcPr>
            <w:tcW w:type="dxa" w:w="20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CFP semifinals</w:t>
            </w:r>
          </w:p>
        </w:tc>
        <w:tc>
          <w:tcPr>
            <w:tcW w:type="dxa" w:w="521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Two campus games.</w:t>
            </w:r>
          </w:p>
        </w:tc>
      </w:tr>
      <w:tr>
        <w:trPr>
          <w:cantSplit w:val="true"/>
          <w:trHeight w:hRule="auto"/>
        </w:trPr>
        <w:tc>
          <w:tcPr>
            <w:tcW w:type="dxa" w:w="21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Following weekend</w:t>
            </w:r>
          </w:p>
        </w:tc>
        <w:tc>
          <w:tcPr>
            <w:tcW w:type="dxa" w:w="20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National championship</w:t>
            </w:r>
          </w:p>
        </w:tc>
        <w:tc>
          <w:tcPr>
            <w:tcW w:type="dxa" w:w="521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Neutral site; season concludes around mid-January.</w:t>
            </w:r>
          </w:p>
        </w:tc>
      </w:tr>
    </w:tbl>
    <w:p>
      <w:pPr>
        <w:spacing w:before="0" w:after="40"/>
      </w:pPr>
    </w:p>
    <w:p>
      <w:pPr>
        <w:pStyle w:val="Heading2"/>
        <w:keepNext/>
        <w:keepLines/>
      </w:pPr>
      <w:r>
        <w:t>4.1 The site philosophy</w:t>
      </w:r>
    </w:p>
    <w:p>
      <w:pPr>
        <w:numPr>
          <w:ilvl w:val="0"/>
          <w:numId w:val="10"/>
        </w:numPr>
        <w:spacing w:after="80" w:line="290" w:lineRule="auto"/>
        <w:ind w:left="540" w:hanging="279"/>
        <w:keepLines/>
      </w:pPr>
      <w:r>
        <w:rPr>
          <w:rFonts w:ascii="Calibri" w:hAnsi="Calibri"/>
        </w:rPr>
        <w:t>When students and campus communities are present, the most important games should be played on campus.</w:t>
      </w:r>
    </w:p>
    <w:p>
      <w:pPr>
        <w:numPr>
          <w:ilvl w:val="0"/>
          <w:numId w:val="10"/>
        </w:numPr>
        <w:spacing w:after="80" w:line="290" w:lineRule="auto"/>
        <w:ind w:left="540" w:hanging="279"/>
        <w:keepLines/>
      </w:pPr>
      <w:r>
        <w:rPr>
          <w:rFonts w:ascii="Calibri" w:hAnsi="Calibri"/>
        </w:rPr>
        <w:t>Late December is the one destination round: six games and six historic bowls create a concentrated CFP Bowl Weekend.</w:t>
      </w:r>
    </w:p>
    <w:p>
      <w:pPr>
        <w:numPr>
          <w:ilvl w:val="0"/>
          <w:numId w:val="10"/>
        </w:numPr>
        <w:spacing w:after="80" w:line="290" w:lineRule="auto"/>
        <w:ind w:left="540" w:hanging="279"/>
        <w:keepLines/>
      </w:pPr>
      <w:r>
        <w:rPr>
          <w:rFonts w:ascii="Calibri" w:hAnsi="Calibri"/>
        </w:rPr>
        <w:t>Early January returns the playoff to campuses instead of requiring repeated fan travel to neutral NFL stadiums.</w:t>
      </w:r>
    </w:p>
    <w:p>
      <w:pPr>
        <w:numPr>
          <w:ilvl w:val="0"/>
          <w:numId w:val="10"/>
        </w:numPr>
        <w:spacing w:after="80" w:line="290" w:lineRule="auto"/>
        <w:ind w:left="540" w:hanging="279"/>
        <w:keepLines/>
      </w:pPr>
      <w:r>
        <w:rPr>
          <w:rFonts w:ascii="Calibri" w:hAnsi="Calibri"/>
        </w:rPr>
        <w:t>The neutral national championship is preserved because neither finalist should receive home-field advantage in the title game.</w:t>
      </w:r>
    </w:p>
    <w:p>
      <w:pPr>
        <w:pStyle w:val="Heading2"/>
        <w:keepNext/>
        <w:keepLines/>
      </w:pPr>
      <w:r>
        <w:t>4.2 Player load and rest</w:t>
      </w:r>
    </w:p>
    <w:p>
      <w:pPr>
        <w:spacing w:before="0"/>
      </w:pPr>
      <w:r>
        <w:rPr>
          <w:rFonts w:ascii="Calibri" w:hAnsi="Calibri"/>
          <w:b w:val="0"/>
          <w:i w:val="0"/>
        </w:rPr>
        <w:t>The longest possible path is 12 regular-season games, one conference championship, and five CFP games: 18 total. Only an opening-round participant that also plays a conference title game can reach that maximum. A double-bye institution plays 15 total games if it also reached a conference title, and the Christmas pause provides the longest postseason recovery period. Medical, travel, and practice-load standards should be adopted with the format, and no conference may add extra championship rounds without reducing regular-season exposure.</w:t>
      </w:r>
    </w:p>
    <w:p>
      <w:pPr>
        <w:pStyle w:val="Heading2"/>
        <w:keepNext/>
        <w:keepLines/>
      </w:pPr>
      <w:r>
        <w:t>4.3 College Football–NFL protected-window compact</w:t>
      </w:r>
    </w:p>
    <w:p>
      <w:pPr>
        <w:spacing w:before="0"/>
      </w:pPr>
      <w:r>
        <w:rPr>
          <w:rFonts w:ascii="Calibri" w:hAnsi="Calibri"/>
          <w:b w:val="0"/>
          <w:i w:val="0"/>
        </w:rPr>
        <w:t>The college championship calendar cannot be designed as if the NFL calendar does not exist. CFP management, the NCAA, FBS conferences, independent institutions, the NFL, and the NFL Players Association should negotiate one annual calendar memorandum that reduces avoidable conflicts, protects the college game’s best Saturday inventory, and coordinates the transition from college participation to professional evaluation.</w:t>
      </w:r>
    </w:p>
    <w:p>
      <w:pPr>
        <w:spacing w:before="120" w:after="200" w:line="288" w:lineRule="auto"/>
        <w:ind w:left="259" w:right="115"/>
        <w:shd w:fill="E8EEF5"/>
        <w:pBdr>
          <w:left w:val="single" w:sz="18" w:space="6" w:color="1F4D78"/>
        </w:pBdr>
        <w:keepLines/>
      </w:pPr>
      <w:r>
        <w:rPr>
          <w:rFonts w:ascii="Calibri" w:hAnsi="Calibri"/>
          <w:b/>
          <w:color w:val="1F4D78"/>
          <w:sz w:val="20"/>
        </w:rPr>
        <w:t xml:space="preserve">SATURDAY-NIGHT CHAMPIONSHIP TARGET  </w:t>
      </w:r>
      <w:r>
        <w:rPr>
          <w:rFonts w:ascii="Calibri" w:hAnsi="Calibri"/>
          <w:color w:val="0B2545"/>
          <w:sz w:val="21"/>
        </w:rPr>
        <w:t>For the next negotiable cycle, reserve Saturday at approximately 7:30 p.m. Eastern during NFL Wild Card Weekend for the College Football Playoff National Championship. The NFL may retain earlier Saturday inventory and its Sunday and Monday windows. This is a proposed negotiated target—not the announced 2027 schedule, which currently places the CFP title game on Monday, January 25, one week after the NFL Wild Card round.</w:t>
      </w:r>
    </w:p>
    <w:p>
      <w:pPr>
        <w:numPr>
          <w:ilvl w:val="0"/>
          <w:numId w:val="10"/>
        </w:numPr>
        <w:spacing w:after="80" w:line="290" w:lineRule="auto"/>
        <w:ind w:left="540" w:hanging="279"/>
        <w:keepLines/>
      </w:pPr>
      <w:r>
        <w:rPr>
          <w:rFonts w:ascii="Calibri" w:hAnsi="Calibri"/>
        </w:rPr>
        <w:t>Publish the joint college–professional football calendar by May 1 before each season, including CFP rounds, NFL playoff windows, all-star events, combine activity, draft declarations, withdrawal dates, portal activity, and signing periods.</w:t>
      </w:r>
    </w:p>
    <w:p>
      <w:pPr>
        <w:numPr>
          <w:ilvl w:val="0"/>
          <w:numId w:val="10"/>
        </w:numPr>
        <w:spacing w:after="80" w:line="290" w:lineRule="auto"/>
        <w:ind w:left="540" w:hanging="279"/>
        <w:keepLines/>
      </w:pPr>
      <w:r>
        <w:rPr>
          <w:rFonts w:ascii="Calibri" w:hAnsi="Calibri"/>
        </w:rPr>
        <w:t>Give the college championship an exclusive national window whenever practicable and publish an overlap audit for every CFP round before broadcast selections are finalized.</w:t>
      </w:r>
    </w:p>
    <w:p>
      <w:pPr>
        <w:numPr>
          <w:ilvl w:val="0"/>
          <w:numId w:val="10"/>
        </w:numPr>
        <w:spacing w:after="80" w:line="290" w:lineRule="auto"/>
        <w:ind w:left="540" w:hanging="279"/>
        <w:keepLines/>
      </w:pPr>
      <w:r>
        <w:rPr>
          <w:rFonts w:ascii="Calibri" w:hAnsi="Calibri"/>
        </w:rPr>
        <w:t>Use early Saturday NFL inventory, Sunday, and Monday to preserve the NFL’s Wild Card package while creating a singular Saturday-night college championship event.</w:t>
      </w:r>
    </w:p>
    <w:p>
      <w:pPr>
        <w:numPr>
          <w:ilvl w:val="0"/>
          <w:numId w:val="10"/>
        </w:numPr>
        <w:spacing w:after="80" w:line="290" w:lineRule="auto"/>
        <w:ind w:left="540" w:hanging="279"/>
        <w:keepLines/>
      </w:pPr>
      <w:r>
        <w:rPr>
          <w:rFonts w:ascii="Calibri" w:hAnsi="Calibri"/>
        </w:rPr>
        <w:t>Coordinate emergency scheduling, weather contingencies, medical demands, and media changes through one designated operations group rather than separate last-minute negotiations.</w:t>
      </w:r>
    </w:p>
    <w:p>
      <w:pPr>
        <w:pStyle w:val="Heading1"/>
        <w:keepNext/>
        <w:keepLines/>
      </w:pPr>
      <w:r>
        <w:t>5. Transparent Rankings and Résumé Evaluation</w:t>
      </w:r>
    </w:p>
    <w:p>
      <w:pPr>
        <w:pStyle w:val="ProposalLead"/>
        <w:spacing w:before="0"/>
      </w:pPr>
      <w:r>
        <w:rPr>
          <w:rFonts w:ascii="Calibri" w:hAnsi="Calibri"/>
          <w:b w:val="0"/>
          <w:i w:val="0"/>
        </w:rPr>
        <w:t>College football should preserve polls as culture while removing preseason expectations from official championship decisions. September opinions should not contaminate December résumés.</w:t>
      </w:r>
    </w:p>
    <w:p>
      <w:pPr>
        <w:pStyle w:val="Heading2"/>
        <w:keepNext/>
        <w:keepLines/>
      </w:pPr>
      <w:r>
        <w:t>5.1 Polls remain; official consequences do not</w:t>
      </w:r>
    </w:p>
    <w:p>
      <w:pPr>
        <w:spacing w:before="0"/>
      </w:pPr>
      <w:r>
        <w:rPr>
          <w:rFonts w:ascii="Calibri" w:hAnsi="Calibri"/>
          <w:b w:val="0"/>
          <w:i w:val="0"/>
        </w:rPr>
        <w:t>The AP Poll, Coaches Poll, and network rankings may continue for tradition, storytelling, and television. They have no formal role in CFP selection, schedule strength, conference tiebreakers, or the definition of a quality win. The phrase ‘ranked at the time’ disappears from official résumé analysis.</w:t>
      </w:r>
    </w:p>
    <w:p>
      <w:pPr>
        <w:spacing w:before="120" w:after="200" w:line="288" w:lineRule="auto"/>
        <w:ind w:left="259" w:right="115"/>
        <w:shd w:fill="F4F6F9"/>
        <w:pBdr>
          <w:left w:val="single" w:sz="18" w:space="6" w:color="2E74B5"/>
        </w:pBdr>
        <w:keepLines/>
      </w:pPr>
      <w:r>
        <w:rPr>
          <w:rFonts w:ascii="Calibri" w:hAnsi="Calibri"/>
          <w:b/>
          <w:color w:val="2E74B5"/>
          <w:sz w:val="20"/>
        </w:rPr>
        <w:t xml:space="preserve">RETROACTIVE OPPONENT QUALITY  </w:t>
      </w:r>
      <w:r>
        <w:rPr>
          <w:rFonts w:ascii="Calibri" w:hAnsi="Calibri"/>
          <w:color w:val="0B2545"/>
          <w:sz w:val="21"/>
        </w:rPr>
        <w:t>A Week 1 win over a preseason No. 3 that finishes 7–5 is evaluated as a win over the team it became. A win over an unranked opponent that finishes 10–2 is upgraded. Losses are recalculated the same way.</w:t>
      </w:r>
    </w:p>
    <w:p>
      <w:pPr>
        <w:pStyle w:val="Heading2"/>
        <w:keepNext/>
        <w:keepLines/>
      </w:pPr>
      <w:r>
        <w:t>5.2 Publish data before publishing rankings</w:t>
      </w:r>
    </w:p>
    <w:tbl>
      <w:tblPr>
        <w:tblW w:type="dxa" w:w="9360"/>
        <w:jc w:val="left"/>
        <w:tblLayout w:type="fixed"/>
        <w:tblLook w:firstColumn="1" w:firstRow="1" w:lastColumn="0" w:lastRow="0" w:noHBand="0" w:noVBand="1" w:val="04A0"/>
        <w:tblInd w:type="dxa" w:w="120"/>
      </w:tblPr>
      <w:tblGrid>
        <w:gridCol w:w="2200"/>
        <w:gridCol w:w="7160"/>
      </w:tblGrid>
      <w:tr>
        <w:trPr>
          <w:trHeight w:hRule="auto"/>
          <w:cantSplit w:val="true"/>
          <w:tblHeader w:val="true"/>
        </w:trPr>
        <w:tc>
          <w:tcPr>
            <w:tcW w:type="dxa" w:w="22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Period</w:t>
            </w:r>
          </w:p>
        </w:tc>
        <w:tc>
          <w:tcPr>
            <w:tcW w:type="dxa" w:w="716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Official treatment</w:t>
            </w:r>
          </w:p>
        </w:tc>
      </w:tr>
      <w:tr>
        <w:trPr>
          <w:cantSplit w:val="true"/>
          <w:trHeight w:hRule="auto"/>
        </w:trPr>
        <w:tc>
          <w:tcPr>
            <w:tcW w:type="dxa" w:w="22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August–September</w:t>
            </w:r>
          </w:p>
        </w:tc>
        <w:tc>
          <w:tcPr>
            <w:tcW w:type="dxa" w:w="71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No official CFP ranking. Polls remain entertainment; national data is labeled insufficient or preliminary.</w:t>
            </w:r>
          </w:p>
        </w:tc>
      </w:tr>
      <w:tr>
        <w:trPr>
          <w:cantSplit w:val="true"/>
          <w:trHeight w:hRule="auto"/>
        </w:trPr>
        <w:tc>
          <w:tcPr>
            <w:tcW w:type="dxa" w:w="22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October</w:t>
            </w:r>
          </w:p>
        </w:tc>
        <w:tc>
          <w:tcPr>
            <w:tcW w:type="dxa" w:w="71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Publish résumé data—schedule strength, strength of record, road record, and current-opponent quality—without a committee 1–25.</w:t>
            </w:r>
          </w:p>
        </w:tc>
      </w:tr>
      <w:tr>
        <w:trPr>
          <w:cantSplit w:val="true"/>
          <w:trHeight w:hRule="auto"/>
        </w:trPr>
        <w:tc>
          <w:tcPr>
            <w:tcW w:type="dxa" w:w="22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First Tuesday in November</w:t>
            </w:r>
          </w:p>
        </w:tc>
        <w:tc>
          <w:tcPr>
            <w:tcW w:type="dxa" w:w="71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First official CFP ranking after roughly nine games.</w:t>
            </w:r>
          </w:p>
        </w:tc>
      </w:tr>
      <w:tr>
        <w:trPr>
          <w:cantSplit w:val="true"/>
          <w:trHeight w:hRule="auto"/>
        </w:trPr>
        <w:tc>
          <w:tcPr>
            <w:tcW w:type="dxa" w:w="22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November</w:t>
            </w:r>
          </w:p>
        </w:tc>
        <w:tc>
          <w:tcPr>
            <w:tcW w:type="dxa" w:w="71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Limit releases to approximately three meaningful rankings before the final regular-season ranking.</w:t>
            </w:r>
          </w:p>
        </w:tc>
      </w:tr>
      <w:tr>
        <w:trPr>
          <w:cantSplit w:val="true"/>
          <w:trHeight w:hRule="auto"/>
        </w:trPr>
        <w:tc>
          <w:tcPr>
            <w:tcW w:type="dxa" w:w="22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After rivalry week</w:t>
            </w:r>
          </w:p>
        </w:tc>
        <w:tc>
          <w:tcPr>
            <w:tcW w:type="dxa" w:w="71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Publish the protection-setting post-regular-season ranking.</w:t>
            </w:r>
          </w:p>
        </w:tc>
      </w:tr>
      <w:tr>
        <w:trPr>
          <w:cantSplit w:val="true"/>
          <w:trHeight w:hRule="auto"/>
        </w:trPr>
        <w:tc>
          <w:tcPr>
            <w:tcW w:type="dxa" w:w="22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After conference championships</w:t>
            </w:r>
          </w:p>
        </w:tc>
        <w:tc>
          <w:tcPr>
            <w:tcW w:type="dxa" w:w="71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Publish the final CFP ranking and field.</w:t>
            </w:r>
          </w:p>
        </w:tc>
      </w:tr>
    </w:tbl>
    <w:p>
      <w:pPr>
        <w:spacing w:before="0" w:after="40"/>
      </w:pPr>
    </w:p>
    <w:p>
      <w:pPr>
        <w:pStyle w:val="Heading2"/>
        <w:keepNext/>
        <w:keepLines/>
      </w:pPr>
      <w:r>
        <w:t>5.3 National Résumé Rating (NRR) · v0.48</w:t>
      </w:r>
    </w:p>
    <w:p>
      <w:pPr>
        <w:spacing w:before="0"/>
      </w:pPr>
      <w:r>
        <w:rPr>
          <w:rFonts w:ascii="Calibri" w:hAnsi="Calibri"/>
          <w:b w:val="0"/>
          <w:i w:val="0"/>
        </w:rPr>
        <w:t>Every FBS institution receives a transparent computer-generated National Résumé Rating answering one question: What has this institution’s team accomplished? The published default is NRR v0.48. Readers may test other weightings in the public lab, but the official NRR uses one locked formula for every team and conference, contains no preseason input, and permits no manual team adjustment.</w:t>
      </w:r>
    </w:p>
    <w:tbl>
      <w:tblPr>
        <w:tblW w:type="dxa" w:w="9360"/>
        <w:jc w:val="left"/>
        <w:tblLayout w:type="fixed"/>
        <w:tblLook w:firstColumn="1" w:firstRow="1" w:lastColumn="0" w:lastRow="0" w:noHBand="0" w:noVBand="1" w:val="04A0"/>
        <w:tblInd w:type="dxa" w:w="120"/>
      </w:tblPr>
      <w:tblGrid>
        <w:gridCol w:w="3150"/>
        <w:gridCol w:w="1450"/>
        <w:gridCol w:w="4760"/>
      </w:tblGrid>
      <w:tr>
        <w:trPr>
          <w:trHeight w:hRule="auto"/>
          <w:cantSplit w:val="true"/>
          <w:tblHeader w:val="true"/>
        </w:trPr>
        <w:tc>
          <w:tcPr>
            <w:tcW w:type="dxa" w:w="315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Component</w:t>
            </w:r>
          </w:p>
        </w:tc>
        <w:tc>
          <w:tcPr>
            <w:tcW w:type="dxa" w:w="145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center"/>
              <w:keepLines/>
            </w:pPr>
            <w:r>
              <w:rPr>
                <w:rFonts w:ascii="Calibri" w:hAnsi="Calibri"/>
                <w:b/>
                <w:color w:val="0B2545"/>
                <w:sz w:val="18"/>
              </w:rPr>
              <w:t>Published weight</w:t>
            </w:r>
          </w:p>
        </w:tc>
        <w:tc>
          <w:tcPr>
            <w:tcW w:type="dxa" w:w="476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Purpose</w:t>
            </w:r>
          </w:p>
        </w:tc>
      </w:tr>
      <w:tr>
        <w:trPr>
          <w:cantSplit w:val="true"/>
          <w:trHeight w:hRule="auto"/>
        </w:trPr>
        <w:tc>
          <w:tcPr>
            <w:tcW w:type="dxa" w:w="31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Quality-win depth</w:t>
            </w:r>
          </w:p>
        </w:tc>
        <w:tc>
          <w:tcPr>
            <w:tcW w:type="dxa" w:w="14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30%</w:t>
            </w:r>
          </w:p>
        </w:tc>
        <w:tc>
          <w:tcPr>
            <w:tcW w:type="dxa" w:w="47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Opponent-calibrated value and venue context across the complete win portfolio</w:t>
            </w:r>
          </w:p>
        </w:tc>
      </w:tr>
      <w:tr>
        <w:trPr>
          <w:cantSplit w:val="true"/>
          <w:trHeight w:hRule="auto"/>
        </w:trPr>
        <w:tc>
          <w:tcPr>
            <w:tcW w:type="dxa" w:w="31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Schedule-adjusted record</w:t>
            </w:r>
          </w:p>
        </w:tc>
        <w:tc>
          <w:tcPr>
            <w:tcW w:type="dxa" w:w="14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30%</w:t>
            </w:r>
          </w:p>
        </w:tc>
        <w:tc>
          <w:tcPr>
            <w:tcW w:type="dxa" w:w="47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Difficulty of producing the team’s actual record against its complete schedule</w:t>
            </w:r>
          </w:p>
        </w:tc>
      </w:tr>
      <w:tr>
        <w:trPr>
          <w:cantSplit w:val="true"/>
          <w:trHeight w:hRule="auto"/>
        </w:trPr>
        <w:tc>
          <w:tcPr>
            <w:tcW w:type="dxa" w:w="31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Opponent-adjusted performance</w:t>
            </w:r>
          </w:p>
        </w:tc>
        <w:tc>
          <w:tcPr>
            <w:tcW w:type="dxa" w:w="14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15%</w:t>
            </w:r>
          </w:p>
        </w:tc>
        <w:tc>
          <w:tcPr>
            <w:tcW w:type="dxa" w:w="47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Meaningful-play efficiency and scoring performance adjusted for opponent strength</w:t>
            </w:r>
          </w:p>
        </w:tc>
      </w:tr>
      <w:tr>
        <w:trPr>
          <w:cantSplit w:val="true"/>
          <w:trHeight w:hRule="auto"/>
        </w:trPr>
        <w:tc>
          <w:tcPr>
            <w:tcW w:type="dxa" w:w="31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Loss integrity</w:t>
            </w:r>
          </w:p>
        </w:tc>
        <w:tc>
          <w:tcPr>
            <w:tcW w:type="dxa" w:w="14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20%</w:t>
            </w:r>
          </w:p>
        </w:tc>
        <w:tc>
          <w:tcPr>
            <w:tcW w:type="dxa" w:w="47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Opponent, venue, late-game competitiveness, margin, and cumulative loss burden</w:t>
            </w:r>
          </w:p>
        </w:tc>
      </w:tr>
      <w:tr>
        <w:trPr>
          <w:cantSplit w:val="true"/>
          <w:trHeight w:hRule="auto"/>
        </w:trPr>
        <w:tc>
          <w:tcPr>
            <w:tcW w:type="dxa" w:w="31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Win control</w:t>
            </w:r>
          </w:p>
        </w:tc>
        <w:tc>
          <w:tcPr>
            <w:tcW w:type="dxa" w:w="145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5%</w:t>
            </w:r>
          </w:p>
        </w:tc>
        <w:tc>
          <w:tcPr>
            <w:tcW w:type="dxa" w:w="47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Consistent command of victories using late-game checkpoints and diminishing returns</w:t>
            </w:r>
          </w:p>
        </w:tc>
      </w:tr>
    </w:tbl>
    <w:p>
      <w:pPr>
        <w:spacing w:before="0" w:after="40"/>
      </w:pPr>
      <w:r>
        <w:t>The public audit includes twelve time-locked weekly checkpoints across the complete 2024 and 2025 CFP release calendars. The five scored measures are 30% Quality-Win Depth, 30% Schedule-Adjusted Record, 20% Loss Integrity, 15% Opponent-Adjusted Performance, and 5% Win Control.</w:t>
      </w:r>
    </w:p>
    <w:p>
      <w:pPr>
        <w:spacing w:before="0"/>
      </w:pPr>
      <w:r>
        <w:rPr>
          <w:rFonts w:ascii="Calibri" w:hAnsi="Calibri"/>
          <w:b w:val="0"/>
          <w:i w:val="0"/>
        </w:rPr>
        <w:t>Margins and late-game checkpoints inform win control and loss integrity, but their influence follows a diminishing-return curve rather than a hard cutoff. The model discounts possessions after a game is competitively decided, so a comfortable win remains more informative than a narrow escape without encouraging teams to extend meaningless scoring margins. The rating is continuous; no arbitrary cutoff separates a meaningful result from the next position.</w:t>
      </w:r>
    </w:p>
    <w:p>
      <w:pPr>
        <w:pStyle w:val="Heading2"/>
        <w:keepNext/>
        <w:keepLines/>
      </w:pPr>
      <w:r>
        <w:t>5.4 A separate Team Strength Rating</w:t>
      </w:r>
    </w:p>
    <w:p>
      <w:pPr>
        <w:spacing w:before="0"/>
      </w:pPr>
      <w:r>
        <w:rPr>
          <w:rFonts w:ascii="Calibri" w:hAnsi="Calibri"/>
          <w:b w:val="0"/>
          <w:i w:val="0"/>
        </w:rPr>
        <w:t>A second transparent number estimates current team quality: How good is this team now? Predictive efficiency, current availability, and recent performance can matter more here. The committee sees both numbers but gives résumé greater weight because playoff position should be earned over a season, not assigned by who a betting market would favor tomorrow.</w:t>
      </w:r>
    </w:p>
    <w:p>
      <w:pPr>
        <w:spacing w:before="120" w:after="200" w:line="288" w:lineRule="auto"/>
        <w:ind w:left="259" w:right="115"/>
        <w:shd w:fill="F7F0D8"/>
        <w:pBdr>
          <w:left w:val="single" w:sz="18" w:space="6" w:color="7A5A00"/>
        </w:pBdr>
        <w:keepLines/>
      </w:pPr>
      <w:r>
        <w:rPr>
          <w:rFonts w:ascii="Calibri" w:hAnsi="Calibri"/>
          <w:b/>
          <w:color w:val="7A5A00"/>
          <w:sz w:val="20"/>
        </w:rPr>
        <w:t xml:space="preserve">INJURY TREATMENT  </w:t>
      </w:r>
      <w:r>
        <w:rPr>
          <w:rFonts w:ascii="Calibri" w:hAnsi="Calibri"/>
          <w:color w:val="0B2545"/>
          <w:sz w:val="21"/>
        </w:rPr>
        <w:t>An injured quarterback does not erase completed wins, so the Résumé Rating remains anchored to accomplishment. The Team Strength Rating may decline. The committee must then explain how it balanced those distinct facts.</w:t>
      </w:r>
    </w:p>
    <w:p>
      <w:pPr>
        <w:pStyle w:val="Heading2"/>
        <w:keepNext/>
        <w:keepLines/>
      </w:pPr>
      <w:r>
        <w:t>5.5 Venue-adjusted quality bands</w:t>
      </w:r>
    </w:p>
    <w:tbl>
      <w:tblPr>
        <w:tblW w:type="dxa" w:w="9360"/>
        <w:jc w:val="left"/>
        <w:tblLayout w:type="fixed"/>
        <w:tblLook w:firstColumn="1" w:firstRow="1" w:lastColumn="0" w:lastRow="0" w:noHBand="0" w:noVBand="1" w:val="04A0"/>
        <w:tblInd w:type="dxa" w:w="120"/>
      </w:tblPr>
      <w:tblGrid>
        <w:gridCol w:w="1300"/>
        <w:gridCol w:w="2687"/>
        <w:gridCol w:w="2687"/>
        <w:gridCol w:w="2686"/>
      </w:tblGrid>
      <w:tr>
        <w:trPr>
          <w:trHeight w:hRule="auto"/>
          <w:cantSplit w:val="true"/>
          <w:tblHeader w:val="true"/>
        </w:trPr>
        <w:tc>
          <w:tcPr>
            <w:tcW w:type="dxa" w:w="13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center"/>
              <w:keepLines/>
            </w:pPr>
            <w:r>
              <w:rPr>
                <w:rFonts w:ascii="Calibri" w:hAnsi="Calibri"/>
                <w:b/>
                <w:color w:val="0B2545"/>
                <w:sz w:val="18"/>
              </w:rPr>
              <w:t>Band</w:t>
            </w:r>
          </w:p>
        </w:tc>
        <w:tc>
          <w:tcPr>
            <w:tcW w:type="dxa" w:w="2687"/>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center"/>
              <w:keepLines/>
            </w:pPr>
            <w:r>
              <w:rPr>
                <w:rFonts w:ascii="Calibri" w:hAnsi="Calibri"/>
                <w:b/>
                <w:color w:val="0B2545"/>
                <w:sz w:val="18"/>
              </w:rPr>
              <w:t>Home</w:t>
            </w:r>
          </w:p>
        </w:tc>
        <w:tc>
          <w:tcPr>
            <w:tcW w:type="dxa" w:w="2687"/>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center"/>
              <w:keepLines/>
            </w:pPr>
            <w:r>
              <w:rPr>
                <w:rFonts w:ascii="Calibri" w:hAnsi="Calibri"/>
                <w:b/>
                <w:color w:val="0B2545"/>
                <w:sz w:val="18"/>
              </w:rPr>
              <w:t>Neutral</w:t>
            </w:r>
          </w:p>
        </w:tc>
        <w:tc>
          <w:tcPr>
            <w:tcW w:type="dxa" w:w="2686"/>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center"/>
              <w:keepLines/>
            </w:pPr>
            <w:r>
              <w:rPr>
                <w:rFonts w:ascii="Calibri" w:hAnsi="Calibri"/>
                <w:b/>
                <w:color w:val="0B2545"/>
                <w:sz w:val="18"/>
              </w:rPr>
              <w:t>Road</w:t>
            </w:r>
          </w:p>
        </w:tc>
      </w:tr>
      <w:tr>
        <w:trPr>
          <w:cantSplit w:val="true"/>
          <w:trHeight w:hRule="auto"/>
        </w:trPr>
        <w:tc>
          <w:tcPr>
            <w:tcW w:type="dxa" w:w="1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Q1</w:t>
            </w:r>
          </w:p>
        </w:tc>
        <w:tc>
          <w:tcPr>
            <w:tcW w:type="dxa" w:w="2687"/>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NRR 1–15</w:t>
            </w:r>
          </w:p>
        </w:tc>
        <w:tc>
          <w:tcPr>
            <w:tcW w:type="dxa" w:w="2687"/>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NRR 1–20</w:t>
            </w:r>
          </w:p>
        </w:tc>
        <w:tc>
          <w:tcPr>
            <w:tcW w:type="dxa" w:w="2686"/>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NRR 1–25</w:t>
            </w:r>
          </w:p>
        </w:tc>
      </w:tr>
      <w:tr>
        <w:trPr>
          <w:cantSplit w:val="true"/>
          <w:trHeight w:hRule="auto"/>
        </w:trPr>
        <w:tc>
          <w:tcPr>
            <w:tcW w:type="dxa" w:w="1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Q2</w:t>
            </w:r>
          </w:p>
        </w:tc>
        <w:tc>
          <w:tcPr>
            <w:tcW w:type="dxa" w:w="2687"/>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NRR 16–35</w:t>
            </w:r>
          </w:p>
        </w:tc>
        <w:tc>
          <w:tcPr>
            <w:tcW w:type="dxa" w:w="2687"/>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NRR 21–40</w:t>
            </w:r>
          </w:p>
        </w:tc>
        <w:tc>
          <w:tcPr>
            <w:tcW w:type="dxa" w:w="2686"/>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NRR 26–50</w:t>
            </w:r>
          </w:p>
        </w:tc>
      </w:tr>
      <w:tr>
        <w:trPr>
          <w:cantSplit w:val="true"/>
          <w:trHeight w:hRule="auto"/>
        </w:trPr>
        <w:tc>
          <w:tcPr>
            <w:tcW w:type="dxa" w:w="1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Q3/Q4</w:t>
            </w:r>
          </w:p>
        </w:tc>
        <w:tc>
          <w:tcPr>
            <w:tcW w:type="dxa" w:w="2687"/>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Remaining ranges</w:t>
            </w:r>
          </w:p>
        </w:tc>
        <w:tc>
          <w:tcPr>
            <w:tcW w:type="dxa" w:w="2687"/>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Remaining ranges</w:t>
            </w:r>
          </w:p>
        </w:tc>
        <w:tc>
          <w:tcPr>
            <w:tcW w:type="dxa" w:w="2686"/>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center"/>
              <w:keepLines/>
            </w:pPr>
            <w:r>
              <w:rPr>
                <w:rFonts w:ascii="Calibri" w:hAnsi="Calibri"/>
                <w:sz w:val="18"/>
              </w:rPr>
              <w:t>Remaining ranges</w:t>
            </w:r>
          </w:p>
        </w:tc>
      </w:tr>
    </w:tbl>
    <w:p>
      <w:pPr>
        <w:spacing w:before="0" w:after="40"/>
      </w:pPr>
    </w:p>
    <w:p>
      <w:pPr>
        <w:spacing w:before="0"/>
      </w:pPr>
      <w:r>
        <w:rPr>
          <w:rFonts w:ascii="Calibri" w:hAnsi="Calibri"/>
          <w:b w:val="0"/>
          <w:i w:val="0"/>
        </w:rPr>
        <w:t>Quality bands are communication tools; the underlying model uses the opponent’s continuous rating. This recognizes that a road win over No. 22 may be more difficult than a home win over No. 16.</w:t>
      </w:r>
    </w:p>
    <w:p>
      <w:pPr>
        <w:pStyle w:val="Heading2"/>
        <w:keepNext/>
        <w:keepLines/>
      </w:pPr>
      <w:r>
        <w:t>5.6 Committee dashboard and accountability</w:t>
      </w:r>
    </w:p>
    <w:p>
      <w:pPr>
        <w:numPr>
          <w:ilvl w:val="0"/>
          <w:numId w:val="10"/>
        </w:numPr>
        <w:spacing w:after="80" w:line="290" w:lineRule="auto"/>
        <w:ind w:left="540" w:hanging="279"/>
        <w:keepLines/>
      </w:pPr>
      <w:r>
        <w:rPr>
          <w:rFonts w:ascii="Calibri" w:hAnsi="Calibri"/>
        </w:rPr>
        <w:t>Each team profile shows CFP rank, NRR, Team Strength Rating, schedule strength, strength of record, Q1/Q2 record, road record, best wins, losses, and conference results.</w:t>
      </w:r>
    </w:p>
    <w:p>
      <w:pPr>
        <w:numPr>
          <w:ilvl w:val="0"/>
          <w:numId w:val="10"/>
        </w:numPr>
        <w:spacing w:after="80" w:line="290" w:lineRule="auto"/>
        <w:ind w:left="540" w:hanging="279"/>
        <w:keepLines/>
      </w:pPr>
      <w:r>
        <w:rPr>
          <w:rFonts w:ascii="Calibri" w:hAnsi="Calibri"/>
        </w:rPr>
        <w:t>The committee retains human judgment rather than outsourcing selection to a formula.</w:t>
      </w:r>
    </w:p>
    <w:p>
      <w:pPr>
        <w:numPr>
          <w:ilvl w:val="0"/>
          <w:numId w:val="10"/>
        </w:numPr>
        <w:spacing w:after="80" w:line="290" w:lineRule="auto"/>
        <w:ind w:left="540" w:hanging="279"/>
        <w:keepLines/>
      </w:pPr>
      <w:r>
        <w:rPr>
          <w:rFonts w:ascii="Calibri" w:hAnsi="Calibri"/>
        </w:rPr>
        <w:t>Any placement more than three positions outside a published objective résumé range requires a written explanation.</w:t>
      </w:r>
    </w:p>
    <w:p>
      <w:pPr>
        <w:numPr>
          <w:ilvl w:val="0"/>
          <w:numId w:val="10"/>
        </w:numPr>
        <w:spacing w:after="80" w:line="290" w:lineRule="auto"/>
        <w:ind w:left="540" w:hanging="279"/>
        <w:keepLines/>
      </w:pPr>
      <w:r>
        <w:rPr>
          <w:rFonts w:ascii="Calibri" w:hAnsi="Calibri"/>
        </w:rPr>
        <w:t>Committee recusal and voting rules remain public, and the model code, data definitions, and annual validation report are published.</w:t>
      </w:r>
    </w:p>
    <w:p>
      <w:pPr>
        <w:pStyle w:val="Heading1"/>
        <w:keepNext/>
        <w:keepLines/>
      </w:pPr>
      <w:r>
        <w:t>6. Scheduling and Conference Architecture</w:t>
      </w:r>
    </w:p>
    <w:p>
      <w:pPr>
        <w:pStyle w:val="ProposalLead"/>
        <w:spacing w:before="0"/>
      </w:pPr>
      <w:r>
        <w:rPr>
          <w:rFonts w:ascii="Calibri" w:hAnsi="Calibri"/>
          <w:b w:val="0"/>
          <w:i w:val="0"/>
        </w:rPr>
        <w:t>The national system should create comparable schedules without turning FBS into a professional super league. Conferences keep their identities and authority; participation in the national championship system requires a common minimum schedule.</w:t>
      </w:r>
    </w:p>
    <w:p>
      <w:pPr>
        <w:pStyle w:val="Heading2"/>
        <w:keepNext/>
        <w:keepLines/>
      </w:pPr>
      <w:r>
        <w:t>6.1 Standard schedule for Power Four institutions</w:t>
      </w:r>
    </w:p>
    <w:p>
      <w:pPr>
        <w:numPr>
          <w:ilvl w:val="0"/>
          <w:numId w:val="10"/>
        </w:numPr>
        <w:spacing w:after="80" w:line="290" w:lineRule="auto"/>
        <w:ind w:left="540" w:hanging="279"/>
        <w:keepLines/>
      </w:pPr>
      <w:r>
        <w:rPr>
          <w:rFonts w:ascii="Calibri" w:hAnsi="Calibri"/>
        </w:rPr>
        <w:t>Nine conference games.</w:t>
      </w:r>
    </w:p>
    <w:p>
      <w:pPr>
        <w:numPr>
          <w:ilvl w:val="0"/>
          <w:numId w:val="10"/>
        </w:numPr>
        <w:spacing w:after="80" w:line="290" w:lineRule="auto"/>
        <w:ind w:left="540" w:hanging="279"/>
        <w:keepLines/>
      </w:pPr>
      <w:r>
        <w:rPr>
          <w:rFonts w:ascii="Calibri" w:hAnsi="Calibri"/>
        </w:rPr>
        <w:t>Two meaningful nonconference games against Power Four opponents, FBS independent institutions, or other FBS opponents meeting a published schedule-quality threshold.</w:t>
      </w:r>
    </w:p>
    <w:p>
      <w:pPr>
        <w:numPr>
          <w:ilvl w:val="0"/>
          <w:numId w:val="10"/>
        </w:numPr>
        <w:spacing w:after="80" w:line="290" w:lineRule="auto"/>
        <w:ind w:left="540" w:hanging="279"/>
        <w:keepLines/>
      </w:pPr>
      <w:r>
        <w:rPr>
          <w:rFonts w:ascii="Calibri" w:hAnsi="Calibri"/>
        </w:rPr>
        <w:t>One flexible game against any eligible FBS or FCS opponent.</w:t>
      </w:r>
    </w:p>
    <w:p>
      <w:pPr>
        <w:numPr>
          <w:ilvl w:val="0"/>
          <w:numId w:val="10"/>
        </w:numPr>
        <w:spacing w:after="80" w:line="290" w:lineRule="auto"/>
        <w:ind w:left="540" w:hanging="279"/>
        <w:keepLines/>
      </w:pPr>
      <w:r>
        <w:rPr>
          <w:rFonts w:ascii="Calibri" w:hAnsi="Calibri"/>
        </w:rPr>
        <w:t>No FCS game after approximately October 1.</w:t>
      </w:r>
    </w:p>
    <w:p>
      <w:pPr>
        <w:numPr>
          <w:ilvl w:val="0"/>
          <w:numId w:val="10"/>
        </w:numPr>
        <w:spacing w:after="80" w:line="290" w:lineRule="auto"/>
        <w:ind w:left="540" w:hanging="279"/>
        <w:keepLines/>
      </w:pPr>
      <w:r>
        <w:rPr>
          <w:rFonts w:ascii="Calibri" w:hAnsi="Calibri"/>
        </w:rPr>
        <w:t>A minimum schedule-quality threshold for double-bye eligibility so undefeated records built on weak schedules do not automatically receive the sport’s greatest advantage.</w:t>
      </w:r>
    </w:p>
    <w:p>
      <w:pPr>
        <w:pStyle w:val="Heading2"/>
        <w:keepNext/>
        <w:keepLines/>
      </w:pPr>
      <w:r>
        <w:t>6.2 College Football Challenge</w:t>
      </w:r>
    </w:p>
    <w:p>
      <w:pPr>
        <w:spacing w:before="0"/>
      </w:pPr>
      <w:r>
        <w:rPr>
          <w:rFonts w:ascii="Calibri" w:hAnsi="Calibri"/>
          <w:b w:val="0"/>
          <w:i w:val="0"/>
        </w:rPr>
        <w:t>One meaningful nonconference game becomes a centrally coordinated interconference challenge. Conferences rotate partnerships and match teams by prior-year performance tiers so schedules can be announced in advance. Most games are home-and-home because campus football is the core product; a limited number become neutral-site showcase events operated by bowl organizations.</w:t>
      </w:r>
    </w:p>
    <w:p>
      <w:pPr>
        <w:spacing w:before="0"/>
      </w:pPr>
      <w:r>
        <w:rPr>
          <w:rFonts w:ascii="Calibri" w:hAnsi="Calibri"/>
          <w:b w:val="0"/>
          <w:i w:val="0"/>
        </w:rPr>
        <w:t>The four designated conferences rotate pairings on a published multi-year cycle so every conference faces every other conference regularly. Independent institutions and qualifying non-Power Four institutions enter through an allocation pool governed by schedule strength, competitive balance, geography, and home-game equity. The challenge creates cross-conference evidence and rewards institutions willing to schedule difficult games.</w:t>
      </w:r>
    </w:p>
    <w:p>
      <w:pPr>
        <w:pStyle w:val="Heading2"/>
        <w:keepNext/>
        <w:keepLines/>
      </w:pPr>
      <w:r>
        <w:t>6.3 Rivalries are protected</w:t>
      </w:r>
    </w:p>
    <w:p>
      <w:pPr>
        <w:spacing w:before="0"/>
      </w:pPr>
      <w:r>
        <w:rPr>
          <w:rFonts w:ascii="Calibri" w:hAnsi="Calibri"/>
          <w:b w:val="0"/>
          <w:i w:val="0"/>
        </w:rPr>
        <w:t>Each team may designate up to three protected annual conference opponents, subject to conference balancing rules. Rivalry Week remains the final regular-season weekend on Thanksgiving. A mathematically neat schedule is not an improvement if it destroys the cultural reasons people care about the sport.</w:t>
      </w:r>
    </w:p>
    <w:p>
      <w:pPr>
        <w:pStyle w:val="Heading2"/>
        <w:keepNext/>
        <w:keepLines/>
      </w:pPr>
      <w:r>
        <w:t>6.4 Large-conference standings</w:t>
      </w:r>
    </w:p>
    <w:p>
      <w:pPr>
        <w:spacing w:before="0"/>
      </w:pPr>
      <w:r>
        <w:rPr>
          <w:rFonts w:ascii="Calibri" w:hAnsi="Calibri"/>
          <w:b w:val="0"/>
          <w:i w:val="0"/>
        </w:rPr>
        <w:t>As conferences grow, identical conference records may be built against materially different schedules. Each league should publish a conference-strength-adjusted tiebreaker using opponent conference performance and shared-opponent data. Head-to-head remains first when available; transparent schedule adjustment replaces arbitrary ranking when teams did not meet. Conferences may choose divisions, pods, or protected-opponent rotations so long as the title qualification method is published before the season.</w:t>
      </w:r>
    </w:p>
    <w:p>
      <w:pPr>
        <w:pStyle w:val="Heading1"/>
        <w:keepNext/>
        <w:keepLines/>
      </w:pPr>
      <w:r>
        <w:t>7. Roster, Recruiting, Coaching, and Player-Framework Calendar</w:t>
      </w:r>
    </w:p>
    <w:p>
      <w:pPr>
        <w:pStyle w:val="ProposalLead"/>
        <w:spacing w:before="0"/>
      </w:pPr>
      <w:r>
        <w:rPr>
          <w:rFonts w:ascii="Calibri" w:hAnsi="Calibri"/>
          <w:b w:val="0"/>
          <w:i w:val="0"/>
        </w:rPr>
        <w:t>Every part of the year should know what it is for. Football season is for football. Roster construction should be fast, visible, and deliberately concentrated after the championship.</w:t>
      </w:r>
    </w:p>
    <w:tbl>
      <w:tblPr>
        <w:tblW w:type="dxa" w:w="9360"/>
        <w:jc w:val="left"/>
        <w:tblLayout w:type="fixed"/>
        <w:tblLook w:firstColumn="1" w:firstRow="1" w:lastColumn="0" w:lastRow="0" w:noHBand="0" w:noVBand="1" w:val="04A0"/>
        <w:tblInd w:type="dxa" w:w="120"/>
      </w:tblPr>
      <w:tblGrid>
        <w:gridCol w:w="1900"/>
        <w:gridCol w:w="2100"/>
        <w:gridCol w:w="5360"/>
      </w:tblGrid>
      <w:tr>
        <w:trPr>
          <w:trHeight w:hRule="auto"/>
          <w:cantSplit w:val="true"/>
          <w:tblHeader w:val="true"/>
        </w:trPr>
        <w:tc>
          <w:tcPr>
            <w:tcW w:type="dxa" w:w="19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Season</w:t>
            </w:r>
          </w:p>
        </w:tc>
        <w:tc>
          <w:tcPr>
            <w:tcW w:type="dxa" w:w="21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Window</w:t>
            </w:r>
          </w:p>
        </w:tc>
        <w:tc>
          <w:tcPr>
            <w:tcW w:type="dxa" w:w="536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Primary activity</w:t>
            </w:r>
          </w:p>
        </w:tc>
      </w:tr>
      <w:tr>
        <w:trPr>
          <w:cantSplit w:val="true"/>
          <w:trHeight w:hRule="auto"/>
        </w:trPr>
        <w:tc>
          <w:tcPr>
            <w:tcW w:type="dxa" w:w="19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Football season</w:t>
            </w:r>
          </w:p>
        </w:tc>
        <w:tc>
          <w:tcPr>
            <w:tcW w:type="dxa" w:w="21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Late July–mid-January</w:t>
            </w:r>
          </w:p>
        </w:tc>
        <w:tc>
          <w:tcPr>
            <w:tcW w:type="dxa" w:w="53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Camp, regular season, conference titles, CFP; roster locked; no portal or formal signing; postseason recruiting dead period.</w:t>
            </w:r>
          </w:p>
        </w:tc>
      </w:tr>
      <w:tr>
        <w:trPr>
          <w:cantSplit w:val="true"/>
          <w:trHeight w:hRule="auto"/>
        </w:trPr>
        <w:tc>
          <w:tcPr>
            <w:tcW w:type="dxa" w:w="19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Roster season</w:t>
            </w:r>
          </w:p>
        </w:tc>
        <w:tc>
          <w:tcPr>
            <w:tcW w:type="dxa" w:w="21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Day after title–mid-February</w:t>
            </w:r>
          </w:p>
        </w:tc>
        <w:tc>
          <w:tcPr>
            <w:tcW w:type="dxa" w:w="53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Coaching market, portal entry, transfer recruitment, high-school signing, roster construction.</w:t>
            </w:r>
          </w:p>
        </w:tc>
      </w:tr>
      <w:tr>
        <w:trPr>
          <w:cantSplit w:val="true"/>
          <w:trHeight w:hRule="auto"/>
        </w:trPr>
        <w:tc>
          <w:tcPr>
            <w:tcW w:type="dxa" w:w="19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Development season</w:t>
            </w:r>
          </w:p>
        </w:tc>
        <w:tc>
          <w:tcPr>
            <w:tcW w:type="dxa" w:w="21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Mid-March–May</w:t>
            </w:r>
          </w:p>
        </w:tc>
        <w:tc>
          <w:tcPr>
            <w:tcW w:type="dxa" w:w="53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Spring football; short supplemental movement window; roster finalized.</w:t>
            </w:r>
          </w:p>
        </w:tc>
      </w:tr>
      <w:tr>
        <w:trPr>
          <w:cantSplit w:val="true"/>
          <w:trHeight w:hRule="auto"/>
        </w:trPr>
        <w:tc>
          <w:tcPr>
            <w:tcW w:type="dxa" w:w="19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Recruiting/summer season</w:t>
            </w:r>
          </w:p>
        </w:tc>
        <w:tc>
          <w:tcPr>
            <w:tcW w:type="dxa" w:w="21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June–July</w:t>
            </w:r>
          </w:p>
        </w:tc>
        <w:tc>
          <w:tcPr>
            <w:tcW w:type="dxa" w:w="53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Official visits, camps, evaluation, then a meaningful July dead period before camp.</w:t>
            </w:r>
          </w:p>
        </w:tc>
      </w:tr>
    </w:tbl>
    <w:p>
      <w:pPr>
        <w:spacing w:before="0" w:after="40"/>
      </w:pPr>
    </w:p>
    <w:p>
      <w:pPr>
        <w:pStyle w:val="Heading2"/>
        <w:keepNext/>
        <w:keepLines/>
      </w:pPr>
      <w:r>
        <w:t>7.1 Hard season-protection rule</w:t>
      </w:r>
    </w:p>
    <w:p>
      <w:pPr>
        <w:spacing w:before="120" w:after="200" w:line="288" w:lineRule="auto"/>
        <w:ind w:left="259" w:right="115"/>
        <w:shd w:fill="F4F6F9"/>
        <w:pBdr>
          <w:left w:val="single" w:sz="18" w:space="6" w:color="2E74B5"/>
        </w:pBdr>
        <w:keepLines/>
      </w:pPr>
      <w:r>
        <w:rPr>
          <w:rFonts w:ascii="Calibri" w:hAnsi="Calibri"/>
          <w:b/>
          <w:color w:val="2E74B5"/>
          <w:sz w:val="20"/>
        </w:rPr>
        <w:t xml:space="preserve">ROSTER FREEZE  </w:t>
      </w:r>
      <w:r>
        <w:rPr>
          <w:rFonts w:ascii="Calibri" w:hAnsi="Calibri"/>
          <w:color w:val="0B2545"/>
          <w:sz w:val="21"/>
        </w:rPr>
        <w:t>From the start of training camp until the national championship ends, no general transfer-portal entry window, formal signing period, or formal FBS-to-FBS head-coach movement operates. Narrow hardship, discontinued-program, financial-aid, and legally required exceptions remain available.</w:t>
      </w:r>
    </w:p>
    <w:p>
      <w:pPr>
        <w:spacing w:before="0"/>
      </w:pPr>
      <w:r>
        <w:rPr>
          <w:rFonts w:ascii="Calibri" w:hAnsi="Calibri"/>
          <w:b w:val="0"/>
          <w:i w:val="0"/>
        </w:rPr>
        <w:t>The freeze gives every team the same roster-market opening date. A program eliminated early does not receive weeks of roster-shopping advantage over a finalist. Coaches may be evaluated and interviewed under controlled rules, but a coach cannot begin work or recruiting for another FBS program until the season is complete.</w:t>
      </w:r>
    </w:p>
    <w:p>
      <w:pPr>
        <w:pStyle w:val="Heading2"/>
        <w:keepNext/>
        <w:keepLines/>
      </w:pPr>
      <w:r>
        <w:t>7.2 Proposed roster-season sequence</w:t>
      </w:r>
    </w:p>
    <w:tbl>
      <w:tblPr>
        <w:tblW w:type="dxa" w:w="9360"/>
        <w:jc w:val="left"/>
        <w:tblLayout w:type="fixed"/>
        <w:tblLook w:firstColumn="1" w:firstRow="1" w:lastColumn="0" w:lastRow="0" w:noHBand="0" w:noVBand="1" w:val="04A0"/>
        <w:tblInd w:type="dxa" w:w="120"/>
      </w:tblPr>
      <w:tblGrid>
        <w:gridCol w:w="2700"/>
        <w:gridCol w:w="6660"/>
      </w:tblGrid>
      <w:tr>
        <w:trPr>
          <w:trHeight w:hRule="auto"/>
          <w:cantSplit w:val="true"/>
          <w:tblHeader w:val="true"/>
        </w:trPr>
        <w:tc>
          <w:tcPr>
            <w:tcW w:type="dxa" w:w="27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Window</w:t>
            </w:r>
          </w:p>
        </w:tc>
        <w:tc>
          <w:tcPr>
            <w:tcW w:type="dxa" w:w="666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Activity</w:t>
            </w:r>
          </w:p>
        </w:tc>
      </w:tr>
      <w:tr>
        <w:trPr>
          <w:cantSplit w:val="true"/>
          <w:trHeight w:hRule="auto"/>
        </w:trPr>
        <w:tc>
          <w:tcPr>
            <w:tcW w:type="dxa" w:w="2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Day after championship</w:t>
            </w:r>
          </w:p>
        </w:tc>
        <w:tc>
          <w:tcPr>
            <w:tcW w:type="dxa" w:w="66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Coaching Carousel Window opens; formal staff changes may begin.</w:t>
            </w:r>
          </w:p>
        </w:tc>
      </w:tr>
      <w:tr>
        <w:trPr>
          <w:cantSplit w:val="true"/>
          <w:trHeight w:hRule="auto"/>
        </w:trPr>
        <w:tc>
          <w:tcPr>
            <w:tcW w:type="dxa" w:w="2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Approximately Jan. 18–31</w:t>
            </w:r>
          </w:p>
        </w:tc>
        <w:tc>
          <w:tcPr>
            <w:tcW w:type="dxa" w:w="66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14-day transfer-portal entry window. Entry is not a commitment deadline.</w:t>
            </w:r>
          </w:p>
        </w:tc>
      </w:tr>
      <w:tr>
        <w:trPr>
          <w:cantSplit w:val="true"/>
          <w:trHeight w:hRule="auto"/>
        </w:trPr>
        <w:tc>
          <w:tcPr>
            <w:tcW w:type="dxa" w:w="2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Through approximately Feb. 7</w:t>
            </w:r>
          </w:p>
        </w:tc>
        <w:tc>
          <w:tcPr>
            <w:tcW w:type="dxa" w:w="66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Transfer visits and recruitment.</w:t>
            </w:r>
          </w:p>
        </w:tc>
      </w:tr>
      <w:tr>
        <w:trPr>
          <w:cantSplit w:val="true"/>
          <w:trHeight w:hRule="auto"/>
        </w:trPr>
        <w:tc>
          <w:tcPr>
            <w:tcW w:type="dxa" w:w="2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Early February</w:t>
            </w:r>
          </w:p>
        </w:tc>
        <w:tc>
          <w:tcPr>
            <w:tcW w:type="dxa" w:w="66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Single high-school signing period.</w:t>
            </w:r>
          </w:p>
        </w:tc>
      </w:tr>
      <w:tr>
        <w:trPr>
          <w:cantSplit w:val="true"/>
          <w:trHeight w:hRule="auto"/>
        </w:trPr>
        <w:tc>
          <w:tcPr>
            <w:tcW w:type="dxa" w:w="2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Approximately Feb. 8</w:t>
            </w:r>
          </w:p>
        </w:tc>
        <w:tc>
          <w:tcPr>
            <w:tcW w:type="dxa" w:w="66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Football roster-management commitment deadline for fall participation, subject to academic rules.</w:t>
            </w:r>
          </w:p>
        </w:tc>
      </w:tr>
      <w:tr>
        <w:trPr>
          <w:cantSplit w:val="true"/>
          <w:trHeight w:hRule="auto"/>
        </w:trPr>
        <w:tc>
          <w:tcPr>
            <w:tcW w:type="dxa" w:w="2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Mid-February–early March</w:t>
            </w:r>
          </w:p>
        </w:tc>
        <w:tc>
          <w:tcPr>
            <w:tcW w:type="dxa" w:w="66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Mandatory football shutdown except medical and rehabilitation activity.</w:t>
            </w:r>
          </w:p>
        </w:tc>
      </w:tr>
      <w:tr>
        <w:trPr>
          <w:cantSplit w:val="true"/>
          <w:trHeight w:hRule="auto"/>
        </w:trPr>
        <w:tc>
          <w:tcPr>
            <w:tcW w:type="dxa" w:w="2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Mid-March–late April</w:t>
            </w:r>
          </w:p>
        </w:tc>
        <w:tc>
          <w:tcPr>
            <w:tcW w:type="dxa" w:w="66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15 spring practices over five weeks; spring game at the end.</w:t>
            </w:r>
          </w:p>
        </w:tc>
      </w:tr>
      <w:tr>
        <w:trPr>
          <w:cantSplit w:val="true"/>
          <w:trHeight w:hRule="auto"/>
        </w:trPr>
        <w:tc>
          <w:tcPr>
            <w:tcW w:type="dxa" w:w="2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May 1–7</w:t>
            </w:r>
          </w:p>
        </w:tc>
        <w:tc>
          <w:tcPr>
            <w:tcW w:type="dxa" w:w="66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Seven-day supplemental portal for defined corrections and exceptions.</w:t>
            </w:r>
          </w:p>
        </w:tc>
      </w:tr>
      <w:tr>
        <w:trPr>
          <w:cantSplit w:val="true"/>
          <w:trHeight w:hRule="auto"/>
        </w:trPr>
        <w:tc>
          <w:tcPr>
            <w:tcW w:type="dxa" w:w="2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May 8–next roster season</w:t>
            </w:r>
          </w:p>
        </w:tc>
        <w:tc>
          <w:tcPr>
            <w:tcW w:type="dxa" w:w="66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General portal closed; roster stabilizes for summer and the fall season.</w:t>
            </w:r>
          </w:p>
        </w:tc>
      </w:tr>
    </w:tbl>
    <w:p>
      <w:pPr>
        <w:spacing w:before="0" w:after="40"/>
      </w:pPr>
    </w:p>
    <w:p>
      <w:pPr>
        <w:pStyle w:val="Heading2"/>
        <w:keepNext/>
        <w:keepLines/>
      </w:pPr>
      <w:r>
        <w:t>7.3 High-school recruiting rhythm</w:t>
      </w:r>
    </w:p>
    <w:p>
      <w:pPr>
        <w:numPr>
          <w:ilvl w:val="0"/>
          <w:numId w:val="10"/>
        </w:numPr>
        <w:spacing w:after="80" w:line="290" w:lineRule="auto"/>
        <w:ind w:left="540" w:hanging="279"/>
        <w:keepLines/>
      </w:pPr>
      <w:r>
        <w:rPr>
          <w:rFonts w:ascii="Calibri" w:hAnsi="Calibri"/>
        </w:rPr>
        <w:t>February–May: evaluation and relationship-building period.</w:t>
      </w:r>
    </w:p>
    <w:p>
      <w:pPr>
        <w:numPr>
          <w:ilvl w:val="0"/>
          <w:numId w:val="10"/>
        </w:numPr>
        <w:spacing w:after="80" w:line="290" w:lineRule="auto"/>
        <w:ind w:left="540" w:hanging="279"/>
        <w:keepLines/>
      </w:pPr>
      <w:r>
        <w:rPr>
          <w:rFonts w:ascii="Calibri" w:hAnsi="Calibri"/>
        </w:rPr>
        <w:t>June: primary official-visit and camp month.</w:t>
      </w:r>
    </w:p>
    <w:p>
      <w:pPr>
        <w:numPr>
          <w:ilvl w:val="0"/>
          <w:numId w:val="10"/>
        </w:numPr>
        <w:spacing w:after="80" w:line="290" w:lineRule="auto"/>
        <w:ind w:left="540" w:hanging="279"/>
        <w:keepLines/>
      </w:pPr>
      <w:r>
        <w:rPr>
          <w:rFonts w:ascii="Calibri" w:hAnsi="Calibri"/>
        </w:rPr>
        <w:t>July: multiweek dead period for coaches, athletes, and families.</w:t>
      </w:r>
    </w:p>
    <w:p>
      <w:pPr>
        <w:numPr>
          <w:ilvl w:val="0"/>
          <w:numId w:val="10"/>
        </w:numPr>
        <w:spacing w:after="80" w:line="290" w:lineRule="auto"/>
        <w:ind w:left="540" w:hanging="279"/>
        <w:keepLines/>
      </w:pPr>
      <w:r>
        <w:rPr>
          <w:rFonts w:ascii="Calibri" w:hAnsi="Calibri"/>
        </w:rPr>
        <w:t>September–November: campus and game-day visits may continue, while off-campus coach travel is tightly limited.</w:t>
      </w:r>
    </w:p>
    <w:p>
      <w:pPr>
        <w:numPr>
          <w:ilvl w:val="0"/>
          <w:numId w:val="10"/>
        </w:numPr>
        <w:spacing w:after="80" w:line="290" w:lineRule="auto"/>
        <w:ind w:left="540" w:hanging="279"/>
        <w:keepLines/>
      </w:pPr>
      <w:r>
        <w:rPr>
          <w:rFonts w:ascii="Calibri" w:hAnsi="Calibri"/>
        </w:rPr>
        <w:t>Monday before Rivalry Week through the national championship: recruiting dead period, with only limited communication permitted.</w:t>
      </w:r>
    </w:p>
    <w:p>
      <w:pPr>
        <w:numPr>
          <w:ilvl w:val="0"/>
          <w:numId w:val="10"/>
        </w:numPr>
        <w:spacing w:after="80" w:line="290" w:lineRule="auto"/>
        <w:ind w:left="540" w:hanging="279"/>
        <w:keepLines/>
      </w:pPr>
      <w:r>
        <w:rPr>
          <w:rFonts w:ascii="Calibri" w:hAnsi="Calibri"/>
        </w:rPr>
        <w:t>Verbal commitments may occur at any time; formal signing waits until roster season.</w:t>
      </w:r>
    </w:p>
    <w:p>
      <w:pPr>
        <w:pStyle w:val="Heading2"/>
        <w:keepNext/>
        <w:keepLines/>
      </w:pPr>
      <w:r>
        <w:t>7.4 Player and staff framework</w:t>
      </w:r>
    </w:p>
    <w:p>
      <w:pPr>
        <w:numPr>
          <w:ilvl w:val="0"/>
          <w:numId w:val="10"/>
        </w:numPr>
        <w:spacing w:after="80" w:line="290" w:lineRule="auto"/>
        <w:ind w:left="540" w:hanging="279"/>
        <w:keepLines/>
      </w:pPr>
      <w:r>
        <w:rPr>
          <w:rFonts w:ascii="Calibri" w:hAnsi="Calibri"/>
        </w:rPr>
        <w:t>A nationally enforceable player-agreement framework with transparent revenue-sharing rules, tampering enforcement, registered agents, and governing-body contract disclosure.</w:t>
      </w:r>
    </w:p>
    <w:p>
      <w:pPr>
        <w:numPr>
          <w:ilvl w:val="0"/>
          <w:numId w:val="10"/>
        </w:numPr>
        <w:spacing w:after="80" w:line="290" w:lineRule="auto"/>
        <w:ind w:left="540" w:hanging="279"/>
        <w:keepLines/>
      </w:pPr>
      <w:r>
        <w:rPr>
          <w:rFonts w:ascii="Calibri" w:hAnsi="Calibri"/>
        </w:rPr>
        <w:t>Legitimate multiyear player agreements where legally permissible, with academic, medical, and exit protections.</w:t>
      </w:r>
    </w:p>
    <w:p>
      <w:pPr>
        <w:numPr>
          <w:ilvl w:val="0"/>
          <w:numId w:val="10"/>
        </w:numPr>
        <w:spacing w:after="80" w:line="290" w:lineRule="auto"/>
        <w:ind w:left="540" w:hanging="279"/>
        <w:keepLines/>
      </w:pPr>
      <w:r>
        <w:rPr>
          <w:rFonts w:ascii="Calibri" w:hAnsi="Calibri"/>
        </w:rPr>
        <w:t>A simplified eligibility baseline of five years to play four seasons, with medical hardship rules retained.</w:t>
      </w:r>
    </w:p>
    <w:p>
      <w:pPr>
        <w:numPr>
          <w:ilvl w:val="0"/>
          <w:numId w:val="10"/>
        </w:numPr>
        <w:spacing w:after="80" w:line="290" w:lineRule="auto"/>
        <w:ind w:left="540" w:hanging="279"/>
        <w:keepLines/>
      </w:pPr>
      <w:r>
        <w:rPr>
          <w:rFonts w:ascii="Calibri" w:hAnsi="Calibri"/>
        </w:rPr>
        <w:t>One overall football roster limit targeted within a 95–105 range after a walk-on, health, and development study; eliminate artificial scholarship-versus-walk-on manipulation.</w:t>
      </w:r>
    </w:p>
    <w:p>
      <w:pPr>
        <w:numPr>
          <w:ilvl w:val="0"/>
          <w:numId w:val="10"/>
        </w:numPr>
        <w:spacing w:after="80" w:line="290" w:lineRule="auto"/>
        <w:ind w:left="540" w:hanging="279"/>
        <w:keepLines/>
      </w:pPr>
      <w:r>
        <w:rPr>
          <w:rFonts w:ascii="Calibri" w:hAnsi="Calibri"/>
        </w:rPr>
        <w:t>A national limit of approximately 15 designated instructional football coaches so the rule reflects who actually coaches players.</w:t>
      </w:r>
    </w:p>
    <w:p>
      <w:pPr>
        <w:spacing w:before="0"/>
      </w:pPr>
      <w:r>
        <w:rPr>
          <w:rFonts w:ascii="Calibri" w:hAnsi="Calibri"/>
          <w:b w:val="0"/>
          <w:i/>
        </w:rPr>
        <w:t>Employment classification, antitrust constraints, collective-bargaining rights, state law, and institutional academic calendars must be addressed in the implementation process. The proposal sets the competitive objective; it does not assume those issues can be solved by rulebook language alone.</w:t>
      </w:r>
    </w:p>
    <w:p>
      <w:pPr>
        <w:pStyle w:val="Heading2"/>
        <w:keepNext/>
        <w:keepLines/>
      </w:pPr>
      <w:r>
        <w:t>7.5 One Clean Doorway to professional football</w:t>
      </w:r>
    </w:p>
    <w:p>
      <w:pPr>
        <w:spacing w:before="0"/>
      </w:pPr>
      <w:r>
        <w:rPr>
          <w:rFonts w:ascii="Calibri" w:hAnsi="Calibri"/>
          <w:b w:val="0"/>
          <w:i w:val="0"/>
        </w:rPr>
        <w:t>A student-athlete should be able to explore professional football with qualified advice without accidentally ending college eligibility, but the system should not become a revolving door in which a player tests a professional roster and returns only after the result is disappointing. The NCAA, NFL, NFLPA, conferences, and athlete representatives should publish one national transition rule with objective events and one synchronized calendar.</w:t>
      </w:r>
    </w:p>
    <w:tbl>
      <w:tblPr>
        <w:tblW w:type="dxa" w:w="9360"/>
        <w:jc w:val="left"/>
        <w:tblLayout w:type="fixed"/>
        <w:tblLook w:firstColumn="1" w:firstRow="1" w:lastColumn="0" w:lastRow="0" w:noHBand="0" w:noVBand="1" w:val="04A0"/>
        <w:tblInd w:type="dxa" w:w="120"/>
      </w:tblPr>
      <w:tblGrid>
        <w:gridCol w:w="1500"/>
        <w:gridCol w:w="4300"/>
        <w:gridCol w:w="3560"/>
      </w:tblGrid>
      <w:tr>
        <w:trPr>
          <w:trHeight w:hRule="auto"/>
          <w:cantSplit w:val="true"/>
          <w:tblHeader w:val="true"/>
        </w:trPr>
        <w:tc>
          <w:tcPr>
            <w:tcW w:type="dxa" w:w="15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7"/>
              </w:rPr>
              <w:t>Stage</w:t>
            </w:r>
          </w:p>
        </w:tc>
        <w:tc>
          <w:tcPr>
            <w:tcW w:type="dxa" w:w="43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7"/>
              </w:rPr>
              <w:t>Permitted activity</w:t>
            </w:r>
          </w:p>
        </w:tc>
        <w:tc>
          <w:tcPr>
            <w:tcW w:type="dxa" w:w="356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7"/>
              </w:rPr>
              <w:t>Eligibility consequence</w:t>
            </w:r>
          </w:p>
        </w:tc>
      </w:tr>
      <w:tr>
        <w:trPr>
          <w:cantSplit w:val="true"/>
          <w:trHeight w:hRule="auto"/>
        </w:trPr>
        <w:tc>
          <w:tcPr>
            <w:tcW w:type="dxa" w:w="15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Explore</w:t>
            </w:r>
          </w:p>
        </w:tc>
        <w:tc>
          <w:tcPr>
            <w:tcW w:type="dxa" w:w="4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Request an advisory grade; retain certified representation and legal advice; receive combine, medical, and contract information.</w:t>
            </w:r>
          </w:p>
        </w:tc>
        <w:tc>
          <w:tcPr>
            <w:tcW w:type="dxa" w:w="35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Eligibility remains intact if disclosure and amateur-status requirements are satisfied.</w:t>
            </w:r>
          </w:p>
        </w:tc>
      </w:tr>
      <w:tr>
        <w:trPr>
          <w:cantSplit w:val="true"/>
          <w:trHeight w:hRule="auto"/>
        </w:trPr>
        <w:tc>
          <w:tcPr>
            <w:tcW w:type="dxa" w:w="15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Declare</w:t>
            </w:r>
          </w:p>
        </w:tc>
        <w:tc>
          <w:tcPr>
            <w:tcW w:type="dxa" w:w="4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Enter the NFL draft process before the national deadline.</w:t>
            </w:r>
          </w:p>
        </w:tc>
        <w:tc>
          <w:tcPr>
            <w:tcW w:type="dxa" w:w="35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Eligibility remains conditionally available through a single published withdrawal deadline.</w:t>
            </w:r>
          </w:p>
        </w:tc>
      </w:tr>
      <w:tr>
        <w:trPr>
          <w:cantSplit w:val="true"/>
          <w:trHeight w:hRule="auto"/>
        </w:trPr>
        <w:tc>
          <w:tcPr>
            <w:tcW w:type="dxa" w:w="15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Withdraw</w:t>
            </w:r>
          </w:p>
        </w:tc>
        <w:tc>
          <w:tcPr>
            <w:tcW w:type="dxa" w:w="4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Exit the draft pool before the deadline and complete required institutional and agent disclosures.</w:t>
            </w:r>
          </w:p>
        </w:tc>
        <w:tc>
          <w:tcPr>
            <w:tcW w:type="dxa" w:w="35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Player may return to college subject to roster, academic, and season-participation rules.</w:t>
            </w:r>
          </w:p>
        </w:tc>
      </w:tr>
      <w:tr>
        <w:trPr>
          <w:cantSplit w:val="true"/>
          <w:trHeight w:hRule="auto"/>
        </w:trPr>
        <w:tc>
          <w:tcPr>
            <w:tcW w:type="dxa" w:w="15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Commit professionally</w:t>
            </w:r>
          </w:p>
        </w:tc>
        <w:tc>
          <w:tcPr>
            <w:tcW w:type="dxa" w:w="4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Sign an NFL player contract, accept NFL regular-season roster or practice-squad compensation, or participate in an NFL regular-season game.</w:t>
            </w:r>
          </w:p>
        </w:tc>
        <w:tc>
          <w:tcPr>
            <w:tcW w:type="dxa" w:w="35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College football eligibility ends permanently, subject only to correction of an administrative error.</w:t>
            </w:r>
          </w:p>
        </w:tc>
      </w:tr>
      <w:tr>
        <w:trPr>
          <w:cantSplit w:val="true"/>
          <w:trHeight w:hRule="auto"/>
        </w:trPr>
        <w:tc>
          <w:tcPr>
            <w:tcW w:type="dxa" w:w="15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Appeal</w:t>
            </w:r>
          </w:p>
        </w:tc>
        <w:tc>
          <w:tcPr>
            <w:tcW w:type="dxa" w:w="4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Document an extraordinary hardship or governing-body processing error.</w:t>
            </w:r>
          </w:p>
        </w:tc>
        <w:tc>
          <w:tcPr>
            <w:tcW w:type="dxa" w:w="35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Narrow independent review; no appeal based solely on draft position, release, performance, or a changed preference.</w:t>
            </w:r>
          </w:p>
        </w:tc>
      </w:tr>
    </w:tbl>
    <w:p>
      <w:pPr>
        <w:spacing w:before="0" w:after="40"/>
      </w:pPr>
    </w:p>
    <w:p>
      <w:pPr>
        <w:spacing w:before="0"/>
      </w:pPr>
      <w:r>
        <w:rPr>
          <w:rFonts w:ascii="Calibri" w:hAnsi="Calibri"/>
          <w:b w:val="0"/>
          <w:i w:val="0"/>
        </w:rPr>
        <w:t>Being drafted but remaining unsigned should not, by itself, be the point of no return. Finality should attach to a clear professional commitment. Portal, roster, draft, combine, and withdrawal dates must be sequenced so a player is not forced to hold a college roster position and an NFL opportunity open at the same time.</w:t>
      </w:r>
    </w:p>
    <w:p>
      <w:pPr>
        <w:pStyle w:val="Heading2"/>
        <w:keepNext/>
        <w:keepLines/>
      </w:pPr>
      <w:r>
        <w:t>7.6 Shared development and data obligations</w:t>
      </w:r>
    </w:p>
    <w:p>
      <w:pPr>
        <w:numPr>
          <w:ilvl w:val="0"/>
          <w:numId w:val="10"/>
        </w:numPr>
        <w:spacing w:after="80" w:line="290" w:lineRule="auto"/>
        <w:ind w:left="540" w:hanging="279"/>
        <w:keepLines/>
      </w:pPr>
      <w:r>
        <w:rPr>
          <w:rFonts w:ascii="Calibri" w:hAnsi="Calibri"/>
        </w:rPr>
        <w:t>Create a consent-based medical and biometric record that the athlete can authorize for transfer between college and NFL medical staffs, with correction rights, access logs, and limits on secondary use.</w:t>
      </w:r>
    </w:p>
    <w:p>
      <w:pPr>
        <w:numPr>
          <w:ilvl w:val="0"/>
          <w:numId w:val="10"/>
        </w:numPr>
        <w:spacing w:after="80" w:line="290" w:lineRule="auto"/>
        <w:ind w:left="540" w:hanging="279"/>
        <w:keepLines/>
      </w:pPr>
      <w:r>
        <w:rPr>
          <w:rFonts w:ascii="Calibri" w:hAnsi="Calibri"/>
        </w:rPr>
        <w:t>Standardize verified testing and position information so repeated workouts are reduced and institutions are not pressured to disclose unverified or unnecessary personal data.</w:t>
      </w:r>
    </w:p>
    <w:p>
      <w:pPr>
        <w:numPr>
          <w:ilvl w:val="0"/>
          <w:numId w:val="10"/>
        </w:numPr>
        <w:spacing w:after="80" w:line="290" w:lineRule="auto"/>
        <w:ind w:left="540" w:hanging="279"/>
        <w:keepLines/>
      </w:pPr>
      <w:r>
        <w:rPr>
          <w:rFonts w:ascii="Calibri" w:hAnsi="Calibri"/>
        </w:rPr>
        <w:t>Coordinate catastrophic-injury, loss-of-value, and pre-draft insurance education, including plain-language disclosure of exclusions and claims procedures.</w:t>
      </w:r>
    </w:p>
    <w:p>
      <w:pPr>
        <w:numPr>
          <w:ilvl w:val="0"/>
          <w:numId w:val="10"/>
        </w:numPr>
        <w:spacing w:after="80" w:line="290" w:lineRule="auto"/>
        <w:ind w:left="540" w:hanging="279"/>
        <w:keepLines/>
      </w:pPr>
      <w:r>
        <w:rPr>
          <w:rFonts w:ascii="Calibri" w:hAnsi="Calibri"/>
        </w:rPr>
        <w:t>Establish an NFL and NFLPA-supported fund for degree completion, transition counseling, medical research, and long-term health services for players developed by college football.</w:t>
      </w:r>
    </w:p>
    <w:p>
      <w:pPr>
        <w:numPr>
          <w:ilvl w:val="0"/>
          <w:numId w:val="10"/>
        </w:numPr>
        <w:spacing w:after="80" w:line="290" w:lineRule="auto"/>
        <w:ind w:left="540" w:hanging="279"/>
        <w:keepLines/>
      </w:pPr>
      <w:r>
        <w:rPr>
          <w:rFonts w:ascii="Calibri" w:hAnsi="Calibri"/>
        </w:rPr>
        <w:t>Publish annual aggregate reporting on declarations, withdrawals, undrafted outcomes, professional commitments, degree completion, injuries, and appeals without exposing individual medical information.</w:t>
      </w:r>
    </w:p>
    <w:p>
      <w:pPr>
        <w:pStyle w:val="Heading1"/>
        <w:keepNext/>
        <w:keepLines/>
      </w:pPr>
      <w:r>
        <w:t>8. The National Tournament: A Complementary FBS Postseason</w:t>
      </w:r>
    </w:p>
    <w:p>
      <w:pPr>
        <w:pStyle w:val="ProposalLead"/>
        <w:spacing w:before="0"/>
      </w:pPr>
      <w:r>
        <w:rPr>
          <w:rFonts w:ascii="Calibri" w:hAnsi="Calibri"/>
          <w:b w:val="0"/>
          <w:i w:val="0"/>
        </w:rPr>
        <w:t>An 18-team CFP improves the national championship but still leaves many institutions outside the Power Four without a realistic national postseason objective by November. FBS should remain one ecosystem, with a complementary 16-team postseason tournament for eligible institutions outside the Power Four rather than a formal subdivision split.</w:t>
      </w:r>
    </w:p>
    <w:p>
      <w:pPr>
        <w:spacing w:before="120" w:after="200" w:line="288" w:lineRule="auto"/>
        <w:ind w:left="259" w:right="115"/>
        <w:shd w:fill="F4F6F9"/>
        <w:pBdr>
          <w:left w:val="single" w:sz="18" w:space="6" w:color="2E74B5"/>
        </w:pBdr>
        <w:keepLines/>
      </w:pPr>
      <w:r>
        <w:rPr>
          <w:rFonts w:ascii="Calibri" w:hAnsi="Calibri"/>
          <w:b/>
          <w:color w:val="2E74B5"/>
          <w:sz w:val="20"/>
        </w:rPr>
        <w:t xml:space="preserve">ELIGIBILITY PRINCIPLE  </w:t>
      </w:r>
      <w:r>
        <w:rPr>
          <w:rFonts w:ascii="Calibri" w:hAnsi="Calibri"/>
          <w:color w:val="0B2545"/>
          <w:sz w:val="21"/>
        </w:rPr>
        <w:t>The National Tournament is reserved exclusively for eligible FBS institutions that are not members of a Power Four conference. The CFP retains priority, and no institution may participate in both events in the same season.</w:t>
      </w:r>
    </w:p>
    <w:p>
      <w:pPr>
        <w:pStyle w:val="Heading2"/>
        <w:keepNext/>
        <w:keepLines/>
      </w:pPr>
      <w:r>
        <w:t>8.1 Eligibility, field, and automatic access</w:t>
      </w:r>
    </w:p>
    <w:p>
      <w:pPr>
        <w:numPr>
          <w:ilvl w:val="0"/>
          <w:numId w:val="10"/>
        </w:numPr>
        <w:spacing w:after="80" w:line="290" w:lineRule="auto"/>
        <w:ind w:left="540" w:hanging="279"/>
        <w:keepLines/>
      </w:pPr>
      <w:r>
        <w:rPr>
          <w:rFonts w:ascii="Calibri" w:hAnsi="Calibri"/>
        </w:rPr>
        <w:t>The field consists of 16 eligible FBS institutions outside the Power Four that are not selected for the CFP.</w:t>
      </w:r>
    </w:p>
    <w:p>
      <w:pPr>
        <w:numPr>
          <w:ilvl w:val="0"/>
          <w:numId w:val="10"/>
        </w:numPr>
        <w:spacing w:after="80" w:line="290" w:lineRule="auto"/>
        <w:ind w:left="540" w:hanging="279"/>
        <w:keepLines/>
      </w:pPr>
      <w:r>
        <w:rPr>
          <w:rFonts w:ascii="Calibri" w:hAnsi="Calibri"/>
        </w:rPr>
        <w:t>No institution belonging to a Power Four conference is eligible, regardless of record, ranking, conference finish, or CFP selection status.</w:t>
      </w:r>
    </w:p>
    <w:p>
      <w:pPr>
        <w:numPr>
          <w:ilvl w:val="0"/>
          <w:numId w:val="10"/>
        </w:numPr>
        <w:spacing w:after="80" w:line="290" w:lineRule="auto"/>
        <w:ind w:left="540" w:hanging="279"/>
        <w:keepLines/>
      </w:pPr>
      <w:r>
        <w:rPr>
          <w:rFonts w:ascii="Calibri" w:hAnsi="Calibri"/>
        </w:rPr>
        <w:t>Every champion of a non-Power Four FBS conference that does not reach the CFP receives an automatic bid and a guaranteed home first-round game.</w:t>
      </w:r>
    </w:p>
    <w:p>
      <w:pPr>
        <w:numPr>
          <w:ilvl w:val="0"/>
          <w:numId w:val="10"/>
        </w:numPr>
        <w:spacing w:after="80" w:line="290" w:lineRule="auto"/>
        <w:ind w:left="540" w:hanging="279"/>
        <w:keepLines/>
      </w:pPr>
      <w:r>
        <w:rPr>
          <w:rFonts w:ascii="Calibri" w:hAnsi="Calibri"/>
        </w:rPr>
        <w:t>All remaining positions are at-large bids awarded to eligible non-Power Four and independent institutions in straight résumé order under the protocol below.</w:t>
      </w:r>
    </w:p>
    <w:p>
      <w:pPr>
        <w:numPr>
          <w:ilvl w:val="0"/>
          <w:numId w:val="10"/>
        </w:numPr>
        <w:spacing w:after="80" w:line="290" w:lineRule="auto"/>
        <w:ind w:left="540" w:hanging="279"/>
        <w:keepLines/>
      </w:pPr>
      <w:r>
        <w:rPr>
          <w:rFonts w:ascii="Calibri" w:hAnsi="Calibri"/>
        </w:rPr>
        <w:t>If an eligible institution is selected for the CFP, it is removed from National Tournament consideration and the next eligible institution advances under the same access category.</w:t>
      </w:r>
    </w:p>
    <w:p>
      <w:pPr>
        <w:pStyle w:val="Heading2"/>
        <w:keepNext/>
        <w:keepLines/>
      </w:pPr>
      <w:r>
        <w:t>8.2 At-large selection and replacement protocol</w:t>
      </w:r>
    </w:p>
    <w:p>
      <w:pPr>
        <w:numPr>
          <w:ilvl w:val="0"/>
          <w:numId w:val="10"/>
        </w:numPr>
        <w:spacing w:after="80" w:line="290" w:lineRule="auto"/>
        <w:ind w:left="540" w:hanging="279"/>
        <w:keepLines/>
      </w:pPr>
      <w:r>
        <w:rPr>
          <w:rFonts w:ascii="Calibri" w:hAnsi="Calibri"/>
        </w:rPr>
        <w:t>Eligibility requires at least seven regular-season wins against FBS or FCS opposition and an overall winning record after any conference championship contest. An otherwise eligible conference champion is exempt from the seven-win threshold.</w:t>
      </w:r>
    </w:p>
    <w:p>
      <w:pPr>
        <w:numPr>
          <w:ilvl w:val="0"/>
          <w:numId w:val="10"/>
        </w:numPr>
        <w:spacing w:after="80" w:line="290" w:lineRule="auto"/>
        <w:ind w:left="540" w:hanging="279"/>
        <w:keepLines/>
      </w:pPr>
      <w:r>
        <w:rPr>
          <w:rFonts w:ascii="Calibri" w:hAnsi="Calibri"/>
        </w:rPr>
        <w:t>The selection body uses the same final underlying résumé ranking used for CFP consideration. Automatic qualifiers are removed, and at-large positions are filled in order from the remaining eligible pool.</w:t>
      </w:r>
    </w:p>
    <w:p>
      <w:pPr>
        <w:numPr>
          <w:ilvl w:val="0"/>
          <w:numId w:val="10"/>
        </w:numPr>
        <w:spacing w:after="80" w:line="290" w:lineRule="auto"/>
        <w:ind w:left="540" w:hanging="279"/>
        <w:keepLines/>
      </w:pPr>
      <w:r>
        <w:rPr>
          <w:rFonts w:ascii="Calibri" w:hAnsi="Calibri"/>
        </w:rPr>
        <w:t>Independent institutions are eligible for at-large selection but cannot claim a conference-champion automatic position. Their schedules are evaluated under the same opponent-quality and venue adjustments as every other institution.</w:t>
      </w:r>
    </w:p>
    <w:p>
      <w:pPr>
        <w:numPr>
          <w:ilvl w:val="0"/>
          <w:numId w:val="10"/>
        </w:numPr>
        <w:spacing w:after="80" w:line="290" w:lineRule="auto"/>
        <w:ind w:left="540" w:hanging="279"/>
        <w:keepLines/>
      </w:pPr>
      <w:r>
        <w:rPr>
          <w:rFonts w:ascii="Calibri" w:hAnsi="Calibri"/>
        </w:rPr>
        <w:t>A recognized regular-season champion of an eligible conference receives formal at-large consideration; exclusion requires a written explanation tied to the published résumé criteria.</w:t>
      </w:r>
    </w:p>
    <w:p>
      <w:pPr>
        <w:numPr>
          <w:ilvl w:val="0"/>
          <w:numId w:val="10"/>
        </w:numPr>
        <w:spacing w:after="80" w:line="290" w:lineRule="auto"/>
        <w:ind w:left="540" w:hanging="279"/>
        <w:keepLines/>
      </w:pPr>
      <w:r>
        <w:rPr>
          <w:rFonts w:ascii="Calibri" w:hAnsi="Calibri"/>
        </w:rPr>
        <w:t>Selected institutions must accept within 24 hours. A decline, ineligibility ruling, or CFP selection is filled by the next institution in the same category; if no eligible replacement remains in that category, the position becomes an at-large bid.</w:t>
      </w:r>
    </w:p>
    <w:p>
      <w:pPr>
        <w:numPr>
          <w:ilvl w:val="0"/>
          <w:numId w:val="10"/>
        </w:numPr>
        <w:spacing w:after="80" w:line="290" w:lineRule="auto"/>
        <w:ind w:left="540" w:hanging="279"/>
        <w:keepLines/>
      </w:pPr>
      <w:r>
        <w:rPr>
          <w:rFonts w:ascii="Calibri" w:hAnsi="Calibri"/>
        </w:rPr>
        <w:t>The final field and seed list are published simultaneously with the CFP field, together with automatic-qualifier labels, at-large order, host assignments, recusals, and replacement order.</w:t>
      </w:r>
    </w:p>
    <w:p>
      <w:pPr>
        <w:pStyle w:val="Heading2"/>
        <w:keepNext/>
        <w:keepLines/>
      </w:pPr>
      <w:r>
        <w:t>8.3 Seeding, hosting, and bracket operation</w:t>
      </w:r>
    </w:p>
    <w:p>
      <w:pPr>
        <w:numPr>
          <w:ilvl w:val="0"/>
          <w:numId w:val="10"/>
        </w:numPr>
        <w:spacing w:after="80" w:line="290" w:lineRule="auto"/>
        <w:ind w:left="540" w:hanging="279"/>
        <w:keepLines/>
      </w:pPr>
      <w:r>
        <w:rPr>
          <w:rFonts w:ascii="Calibri" w:hAnsi="Calibri"/>
        </w:rPr>
        <w:t>The 16 selected institutions are seeded 1 through 16 by the final underlying résumé ranking after the field is complete.</w:t>
      </w:r>
    </w:p>
    <w:p>
      <w:pPr>
        <w:numPr>
          <w:ilvl w:val="0"/>
          <w:numId w:val="10"/>
        </w:numPr>
        <w:spacing w:after="80" w:line="290" w:lineRule="auto"/>
        <w:ind w:left="540" w:hanging="279"/>
        <w:keepLines/>
      </w:pPr>
      <w:r>
        <w:rPr>
          <w:rFonts w:ascii="Calibri" w:hAnsi="Calibri"/>
        </w:rPr>
        <w:t>Every eligible conference champion is guaranteed a first-round home game. Remaining first-round hosting positions go to the highest-seeded institutions. When a champion is moved into the top eight for hosting, the underlying seed remains visible and reseeding uses the underlying résumé order.</w:t>
      </w:r>
    </w:p>
    <w:p>
      <w:pPr>
        <w:numPr>
          <w:ilvl w:val="0"/>
          <w:numId w:val="10"/>
        </w:numPr>
        <w:spacing w:after="80" w:line="290" w:lineRule="auto"/>
        <w:ind w:left="540" w:hanging="279"/>
        <w:keepLines/>
      </w:pPr>
      <w:r>
        <w:rPr>
          <w:rFonts w:ascii="Calibri" w:hAnsi="Calibri"/>
        </w:rPr>
        <w:t>The tournament reseeds after the round of 16 and after the quarterfinals: the highest remaining seed faces the lowest, with the higher underlying seed hosting through the semifinals.</w:t>
      </w:r>
    </w:p>
    <w:p>
      <w:pPr>
        <w:numPr>
          <w:ilvl w:val="0"/>
          <w:numId w:val="10"/>
        </w:numPr>
        <w:spacing w:after="80" w:line="290" w:lineRule="auto"/>
        <w:ind w:left="540" w:hanging="279"/>
        <w:keepLines/>
      </w:pPr>
      <w:r>
        <w:rPr>
          <w:rFonts w:ascii="Calibri" w:hAnsi="Calibri"/>
        </w:rPr>
        <w:t>Minimum host standards cover field condition, lighting, replay, medical operations, security, visiting-team allotments, and broadcast connectivity. If a campus cannot qualify, the institution may use a compliant nearby site without losing host status.</w:t>
      </w:r>
    </w:p>
    <w:p>
      <w:pPr>
        <w:pStyle w:val="Heading2"/>
        <w:keepNext/>
        <w:keepLines/>
      </w:pPr>
      <w:r>
        <w:t>8.4 CFP priority and postseason exclusivity</w:t>
      </w:r>
    </w:p>
    <w:p>
      <w:pPr>
        <w:spacing w:before="120" w:after="200" w:line="288" w:lineRule="auto"/>
        <w:ind w:left="259" w:right="115"/>
        <w:shd w:fill="F7F0D8"/>
        <w:pBdr>
          <w:left w:val="single" w:sz="18" w:space="6" w:color="7A5A00"/>
        </w:pBdr>
        <w:keepLines/>
      </w:pPr>
      <w:r>
        <w:rPr>
          <w:rFonts w:ascii="Calibri" w:hAnsi="Calibri"/>
          <w:b/>
          <w:color w:val="7A5A00"/>
          <w:sz w:val="20"/>
        </w:rPr>
        <w:t xml:space="preserve">NO CONSOLATION TRANSFER  </w:t>
      </w:r>
      <w:r>
        <w:rPr>
          <w:rFonts w:ascii="Calibri" w:hAnsi="Calibri"/>
          <w:color w:val="0B2545"/>
          <w:sz w:val="21"/>
        </w:rPr>
        <w:t>An institution selected for the CFP may not enter the National Tournament after a CFP loss. CFP selection is the higher competitive opportunity; allowing eliminated CFP teams to transfer would create unequal rest, unstable brackets, and the appearance of a consolation tournament.</w:t>
      </w:r>
    </w:p>
    <w:p>
      <w:pPr>
        <w:numPr>
          <w:ilvl w:val="0"/>
          <w:numId w:val="10"/>
        </w:numPr>
        <w:spacing w:after="80" w:line="290" w:lineRule="auto"/>
        <w:ind w:left="540" w:hanging="279"/>
        <w:keepLines/>
      </w:pPr>
      <w:r>
        <w:rPr>
          <w:rFonts w:ascii="Calibri" w:hAnsi="Calibri"/>
        </w:rPr>
        <w:t>A non-Power Four or independent institution selected for the CFP receives no less than the National Tournament participant distribution plus the applicable CFP distribution; advancement payments remain tied to the event actually played.</w:t>
      </w:r>
    </w:p>
    <w:p>
      <w:pPr>
        <w:numPr>
          <w:ilvl w:val="0"/>
          <w:numId w:val="10"/>
        </w:numPr>
        <w:spacing w:after="80" w:line="290" w:lineRule="auto"/>
        <w:ind w:left="540" w:hanging="279"/>
        <w:keepLines/>
      </w:pPr>
      <w:r>
        <w:rPr>
          <w:rFonts w:ascii="Calibri" w:hAnsi="Calibri"/>
        </w:rPr>
        <w:t>The institution receives a formal CFP qualifier designation in FBS records and the next season’s prime College Football Challenge invitation otherwise awarded to the National Tournament champion.</w:t>
      </w:r>
    </w:p>
    <w:p>
      <w:pPr>
        <w:numPr>
          <w:ilvl w:val="0"/>
          <w:numId w:val="10"/>
        </w:numPr>
        <w:spacing w:after="80" w:line="290" w:lineRule="auto"/>
        <w:ind w:left="540" w:hanging="279"/>
        <w:keepLines/>
      </w:pPr>
      <w:r>
        <w:rPr>
          <w:rFonts w:ascii="Calibri" w:hAnsi="Calibri"/>
        </w:rPr>
        <w:t>No institution may decline an offered CFP berth in order to select the National Tournament. The CFP is the sole FBS national-championship path and has priority over every other postseason invitation.</w:t>
      </w:r>
    </w:p>
    <w:p>
      <w:pPr>
        <w:numPr>
          <w:ilvl w:val="0"/>
          <w:numId w:val="10"/>
        </w:numPr>
        <w:spacing w:after="80" w:line="290" w:lineRule="auto"/>
        <w:ind w:left="540" w:hanging="279"/>
        <w:keepLines/>
      </w:pPr>
      <w:r>
        <w:rPr>
          <w:rFonts w:ascii="Calibri" w:hAnsi="Calibri"/>
        </w:rPr>
        <w:t>A CFP loss does not retroactively imply that selection was mistaken. Single-elimination results measure one contest; access is earned from the completed season under the published selection standard.</w:t>
      </w:r>
    </w:p>
    <w:p>
      <w:pPr>
        <w:pStyle w:val="Heading2"/>
        <w:keepNext/>
        <w:keepLines/>
      </w:pPr>
      <w:r>
        <w:t>8.5 Protected media window and calendar</w:t>
      </w:r>
    </w:p>
    <w:p>
      <w:pPr>
        <w:spacing w:before="0"/>
      </w:pPr>
      <w:r>
        <w:rPr>
          <w:rFonts w:ascii="Calibri" w:hAnsi="Calibri"/>
          <w:b w:val="0"/>
          <w:i w:val="0"/>
        </w:rPr>
        <w:t>The National Tournament owns Tuesday and Wednesday nights; the CFP owns Friday and Saturday. Media-rights agreements should protect those windows so eligible institutions receive dedicated national exposure without direct conflict with CFP programming.</w:t>
      </w:r>
    </w:p>
    <w:tbl>
      <w:tblPr>
        <w:tblW w:type="dxa" w:w="9360"/>
        <w:jc w:val="left"/>
        <w:tblLayout w:type="fixed"/>
        <w:tblLook w:firstColumn="1" w:firstRow="1" w:lastColumn="0" w:lastRow="0" w:noHBand="0" w:noVBand="1" w:val="04A0"/>
        <w:tblInd w:type="dxa" w:w="120"/>
      </w:tblPr>
      <w:tblGrid>
        <w:gridCol w:w="1900"/>
        <w:gridCol w:w="4160"/>
        <w:gridCol w:w="3300"/>
      </w:tblGrid>
      <w:tr>
        <w:trPr>
          <w:trHeight w:hRule="auto"/>
          <w:cantSplit w:val="true"/>
          <w:tblHeader w:val="true"/>
        </w:trPr>
        <w:tc>
          <w:tcPr>
            <w:tcW w:type="dxa" w:w="19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Stage</w:t>
            </w:r>
          </w:p>
        </w:tc>
        <w:tc>
          <w:tcPr>
            <w:tcW w:type="dxa" w:w="416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Window</w:t>
            </w:r>
          </w:p>
        </w:tc>
        <w:tc>
          <w:tcPr>
            <w:tcW w:type="dxa" w:w="33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Site</w:t>
            </w:r>
          </w:p>
        </w:tc>
      </w:tr>
      <w:tr>
        <w:trPr>
          <w:cantSplit w:val="true"/>
          <w:trHeight w:hRule="auto"/>
        </w:trPr>
        <w:tc>
          <w:tcPr>
            <w:tcW w:type="dxa" w:w="19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Round of 16</w:t>
            </w:r>
          </w:p>
        </w:tc>
        <w:tc>
          <w:tcPr>
            <w:tcW w:type="dxa" w:w="41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First protected Tue./Wed. at least nine days after conference titles</w:t>
            </w:r>
          </w:p>
        </w:tc>
        <w:tc>
          <w:tcPr>
            <w:tcW w:type="dxa" w:w="3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Campus; higher seed hosts</w:t>
            </w:r>
          </w:p>
        </w:tc>
      </w:tr>
      <w:tr>
        <w:trPr>
          <w:cantSplit w:val="true"/>
          <w:trHeight w:hRule="auto"/>
        </w:trPr>
        <w:tc>
          <w:tcPr>
            <w:tcW w:type="dxa" w:w="19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Quarterfinals</w:t>
            </w:r>
          </w:p>
        </w:tc>
        <w:tc>
          <w:tcPr>
            <w:tcW w:type="dxa" w:w="41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Following Tue./Wed.</w:t>
            </w:r>
          </w:p>
        </w:tc>
        <w:tc>
          <w:tcPr>
            <w:tcW w:type="dxa" w:w="3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Campus; higher seed hosts</w:t>
            </w:r>
          </w:p>
        </w:tc>
      </w:tr>
      <w:tr>
        <w:trPr>
          <w:cantSplit w:val="true"/>
          <w:trHeight w:hRule="auto"/>
        </w:trPr>
        <w:tc>
          <w:tcPr>
            <w:tcW w:type="dxa" w:w="19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Holiday pause</w:t>
            </w:r>
          </w:p>
        </w:tc>
        <w:tc>
          <w:tcPr>
            <w:tcW w:type="dxa" w:w="41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Christmas/New Year transition</w:t>
            </w:r>
          </w:p>
        </w:tc>
        <w:tc>
          <w:tcPr>
            <w:tcW w:type="dxa" w:w="3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No game during the principal family break</w:t>
            </w:r>
          </w:p>
        </w:tc>
      </w:tr>
      <w:tr>
        <w:trPr>
          <w:cantSplit w:val="true"/>
          <w:trHeight w:hRule="auto"/>
        </w:trPr>
        <w:tc>
          <w:tcPr>
            <w:tcW w:type="dxa" w:w="19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Semifinals</w:t>
            </w:r>
          </w:p>
        </w:tc>
        <w:tc>
          <w:tcPr>
            <w:tcW w:type="dxa" w:w="41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First protected Tue./Wed. after New Year’s</w:t>
            </w:r>
          </w:p>
        </w:tc>
        <w:tc>
          <w:tcPr>
            <w:tcW w:type="dxa" w:w="3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Campus; higher seed hosts</w:t>
            </w:r>
          </w:p>
        </w:tc>
      </w:tr>
      <w:tr>
        <w:trPr>
          <w:cantSplit w:val="true"/>
          <w:trHeight w:hRule="auto"/>
        </w:trPr>
        <w:tc>
          <w:tcPr>
            <w:tcW w:type="dxa" w:w="19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Championship</w:t>
            </w:r>
          </w:p>
        </w:tc>
        <w:tc>
          <w:tcPr>
            <w:tcW w:type="dxa" w:w="41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Following Tuesday before CFP title weekend</w:t>
            </w:r>
          </w:p>
        </w:tc>
        <w:tc>
          <w:tcPr>
            <w:tcW w:type="dxa" w:w="3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Rotating neutral site or designated event operator</w:t>
            </w:r>
          </w:p>
        </w:tc>
      </w:tr>
    </w:tbl>
    <w:p>
      <w:pPr>
        <w:spacing w:before="0" w:after="40"/>
      </w:pPr>
    </w:p>
    <w:p>
      <w:pPr>
        <w:spacing w:before="0"/>
      </w:pPr>
      <w:r>
        <w:rPr>
          <w:rFonts w:ascii="Calibri" w:hAnsi="Calibri"/>
          <w:b w:val="0"/>
          <w:i/>
        </w:rPr>
        <w:t>Exact dates should be set annually to preserve minimum recovery time for conference champions. The protected weekday principle is more important than forcing a team to play only three or four days after its conference title game.</w:t>
      </w:r>
    </w:p>
    <w:p>
      <w:pPr>
        <w:pStyle w:val="Heading2"/>
        <w:keepNext/>
        <w:keepLines/>
      </w:pPr>
      <w:r>
        <w:t>8.6 Championship meaning</w:t>
      </w:r>
    </w:p>
    <w:p>
      <w:pPr>
        <w:numPr>
          <w:ilvl w:val="0"/>
          <w:numId w:val="10"/>
        </w:numPr>
        <w:spacing w:after="80" w:line="290" w:lineRule="auto"/>
        <w:ind w:left="540" w:hanging="279"/>
        <w:keepLines/>
      </w:pPr>
      <w:r>
        <w:rPr>
          <w:rFonts w:ascii="Calibri" w:hAnsi="Calibri"/>
        </w:rPr>
        <w:t>Tournament championship trophy and a formally maintained FBS records designation.</w:t>
      </w:r>
    </w:p>
    <w:p>
      <w:pPr>
        <w:numPr>
          <w:ilvl w:val="0"/>
          <w:numId w:val="10"/>
        </w:numPr>
        <w:spacing w:after="80" w:line="290" w:lineRule="auto"/>
        <w:ind w:left="540" w:hanging="279"/>
        <w:keepLines/>
      </w:pPr>
      <w:r>
        <w:rPr>
          <w:rFonts w:ascii="Calibri" w:hAnsi="Calibri"/>
        </w:rPr>
        <w:t>Banner and records designation distinct from the CFP national championship.</w:t>
      </w:r>
    </w:p>
    <w:p>
      <w:pPr>
        <w:numPr>
          <w:ilvl w:val="0"/>
          <w:numId w:val="10"/>
        </w:numPr>
        <w:spacing w:after="80" w:line="290" w:lineRule="auto"/>
        <w:ind w:left="540" w:hanging="279"/>
        <w:keepLines/>
      </w:pPr>
      <w:r>
        <w:rPr>
          <w:rFonts w:ascii="Calibri" w:hAnsi="Calibri"/>
        </w:rPr>
        <w:t>Meaningful participant and advancement revenue distributions.</w:t>
      </w:r>
    </w:p>
    <w:p>
      <w:pPr>
        <w:numPr>
          <w:ilvl w:val="0"/>
          <w:numId w:val="10"/>
        </w:numPr>
        <w:spacing w:after="80" w:line="290" w:lineRule="auto"/>
        <w:ind w:left="540" w:hanging="279"/>
        <w:keepLines/>
      </w:pPr>
      <w:r>
        <w:rPr>
          <w:rFonts w:ascii="Calibri" w:hAnsi="Calibri"/>
        </w:rPr>
        <w:t>Automatic invitation to a prime College Football Challenge showcase the following season.</w:t>
      </w:r>
    </w:p>
    <w:p>
      <w:pPr>
        <w:numPr>
          <w:ilvl w:val="0"/>
          <w:numId w:val="10"/>
        </w:numPr>
        <w:spacing w:after="80" w:line="290" w:lineRule="auto"/>
        <w:ind w:left="540" w:hanging="279"/>
        <w:keepLines/>
      </w:pPr>
      <w:r>
        <w:rPr>
          <w:rFonts w:ascii="Calibri" w:hAnsi="Calibri"/>
        </w:rPr>
        <w:t>No automatic CFP berth in the following season; rosters and competitive strength change too much year to year.</w:t>
      </w:r>
    </w:p>
    <w:p>
      <w:pPr>
        <w:pStyle w:val="Heading2"/>
        <w:keepNext/>
        <w:keepLines/>
      </w:pPr>
      <w:r>
        <w:t>8.7 What the National Tournament is not</w:t>
      </w:r>
    </w:p>
    <w:p>
      <w:pPr>
        <w:numPr>
          <w:ilvl w:val="0"/>
          <w:numId w:val="10"/>
        </w:numPr>
        <w:spacing w:after="80" w:line="290" w:lineRule="auto"/>
        <w:ind w:left="540" w:hanging="279"/>
        <w:keepLines/>
      </w:pPr>
      <w:r>
        <w:rPr>
          <w:rFonts w:ascii="Calibri" w:hAnsi="Calibri"/>
        </w:rPr>
        <w:t>It does not include FCS, Division II, or Division III, each of which already has its own championship structure.</w:t>
      </w:r>
    </w:p>
    <w:p>
      <w:pPr>
        <w:numPr>
          <w:ilvl w:val="0"/>
          <w:numId w:val="10"/>
        </w:numPr>
        <w:spacing w:after="80" w:line="290" w:lineRule="auto"/>
        <w:ind w:left="540" w:hanging="279"/>
        <w:keepLines/>
      </w:pPr>
      <w:r>
        <w:rPr>
          <w:rFonts w:ascii="Calibri" w:hAnsi="Calibri"/>
        </w:rPr>
        <w:t>It does not include any institution that is a member of a Power Four conference.</w:t>
      </w:r>
    </w:p>
    <w:p>
      <w:pPr>
        <w:numPr>
          <w:ilvl w:val="0"/>
          <w:numId w:val="10"/>
        </w:numPr>
        <w:spacing w:after="80" w:line="290" w:lineRule="auto"/>
        <w:ind w:left="540" w:hanging="279"/>
        <w:keepLines/>
      </w:pPr>
      <w:r>
        <w:rPr>
          <w:rFonts w:ascii="Calibri" w:hAnsi="Calibri"/>
        </w:rPr>
        <w:t>It does not permanently demote any FBS institution or block a non-Power Four champion from CFP access.</w:t>
      </w:r>
    </w:p>
    <w:p>
      <w:pPr>
        <w:numPr>
          <w:ilvl w:val="0"/>
          <w:numId w:val="10"/>
        </w:numPr>
        <w:spacing w:after="80" w:line="290" w:lineRule="auto"/>
        <w:ind w:left="540" w:hanging="279"/>
        <w:keepLines/>
      </w:pPr>
      <w:r>
        <w:rPr>
          <w:rFonts w:ascii="Calibri" w:hAnsi="Calibri"/>
        </w:rPr>
        <w:t>It is not the first step toward a third postseason bracket. The CFP, the National Tournament, and optional bowls are sufficient for launch; additional tiers would blur the hierarchy.</w:t>
      </w:r>
    </w:p>
    <w:p>
      <w:pPr>
        <w:pStyle w:val="Heading1"/>
        <w:keepNext/>
        <w:keepLines/>
      </w:pPr>
      <w:r>
        <w:t>9. A Rebuilt Bowl Ecosystem</w:t>
      </w:r>
    </w:p>
    <w:p>
      <w:pPr>
        <w:pStyle w:val="ProposalLead"/>
        <w:spacing w:before="0"/>
      </w:pPr>
      <w:r>
        <w:rPr>
          <w:rFonts w:ascii="Calibri" w:hAnsi="Calibri"/>
          <w:b w:val="0"/>
          <w:i w:val="0"/>
        </w:rPr>
        <w:t>Bowls should become event operators with clear jobs rather than a sprawling substitute for a championship structure.</w:t>
      </w:r>
    </w:p>
    <w:tbl>
      <w:tblPr>
        <w:tblW w:type="dxa" w:w="9360"/>
        <w:jc w:val="left"/>
        <w:tblLayout w:type="fixed"/>
        <w:tblLook w:firstColumn="1" w:firstRow="1" w:lastColumn="0" w:lastRow="0" w:noHBand="0" w:noVBand="1" w:val="04A0"/>
        <w:tblInd w:type="dxa" w:w="120"/>
      </w:tblPr>
      <w:tblGrid>
        <w:gridCol w:w="2300"/>
        <w:gridCol w:w="1800"/>
        <w:gridCol w:w="5260"/>
      </w:tblGrid>
      <w:tr>
        <w:trPr>
          <w:trHeight w:hRule="auto"/>
          <w:cantSplit w:val="true"/>
          <w:tblHeader w:val="true"/>
        </w:trPr>
        <w:tc>
          <w:tcPr>
            <w:tcW w:type="dxa" w:w="23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Track</w:t>
            </w:r>
          </w:p>
        </w:tc>
        <w:tc>
          <w:tcPr>
            <w:tcW w:type="dxa" w:w="18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Scale</w:t>
            </w:r>
          </w:p>
        </w:tc>
        <w:tc>
          <w:tcPr>
            <w:tcW w:type="dxa" w:w="526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Purpose</w:t>
            </w:r>
          </w:p>
        </w:tc>
      </w:tr>
      <w:tr>
        <w:trPr>
          <w:cantSplit w:val="true"/>
          <w:trHeight w:hRule="auto"/>
        </w:trPr>
        <w:tc>
          <w:tcPr>
            <w:tcW w:type="dxa" w:w="2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CFP</w:t>
            </w:r>
          </w:p>
        </w:tc>
        <w:tc>
          <w:tcPr>
            <w:tcW w:type="dxa" w:w="18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18 teams</w:t>
            </w:r>
          </w:p>
        </w:tc>
        <w:tc>
          <w:tcPr>
            <w:tcW w:type="dxa" w:w="52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National championship</w:t>
            </w:r>
          </w:p>
        </w:tc>
      </w:tr>
      <w:tr>
        <w:trPr>
          <w:cantSplit w:val="true"/>
          <w:trHeight w:hRule="auto"/>
        </w:trPr>
        <w:tc>
          <w:tcPr>
            <w:tcW w:type="dxa" w:w="2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National Tournament</w:t>
            </w:r>
          </w:p>
        </w:tc>
        <w:tc>
          <w:tcPr>
            <w:tcW w:type="dxa" w:w="18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16 teams</w:t>
            </w:r>
          </w:p>
        </w:tc>
        <w:tc>
          <w:tcPr>
            <w:tcW w:type="dxa" w:w="52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Postseason title exclusively for eligible FBS institutions outside the Power Four</w:t>
            </w:r>
          </w:p>
        </w:tc>
      </w:tr>
      <w:tr>
        <w:trPr>
          <w:cantSplit w:val="true"/>
          <w:trHeight w:hRule="auto"/>
        </w:trPr>
        <w:tc>
          <w:tcPr>
            <w:tcW w:type="dxa" w:w="2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Traditional bowls</w:t>
            </w:r>
          </w:p>
        </w:tc>
        <w:tc>
          <w:tcPr>
            <w:tcW w:type="dxa" w:w="18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Approximately 8–12 games</w:t>
            </w:r>
          </w:p>
        </w:tc>
        <w:tc>
          <w:tcPr>
            <w:tcW w:type="dxa" w:w="52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Voluntary reward trips and interesting matchups for teams outside both tournaments</w:t>
            </w:r>
          </w:p>
        </w:tc>
      </w:tr>
      <w:tr>
        <w:trPr>
          <w:cantSplit w:val="true"/>
          <w:trHeight w:hRule="auto"/>
        </w:trPr>
        <w:tc>
          <w:tcPr>
            <w:tcW w:type="dxa" w:w="2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Regular-season showcases</w:t>
            </w:r>
          </w:p>
        </w:tc>
        <w:tc>
          <w:tcPr>
            <w:tcW w:type="dxa" w:w="18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Selective events</w:t>
            </w:r>
          </w:p>
        </w:tc>
        <w:tc>
          <w:tcPr>
            <w:tcW w:type="dxa" w:w="52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Bowl organizations operate kickoff games and interconference challenge games</w:t>
            </w:r>
          </w:p>
        </w:tc>
      </w:tr>
    </w:tbl>
    <w:p>
      <w:pPr>
        <w:spacing w:before="0" w:after="40"/>
      </w:pPr>
    </w:p>
    <w:p>
      <w:pPr>
        <w:spacing w:before="0"/>
      </w:pPr>
      <w:r>
        <w:rPr>
          <w:rFonts w:ascii="Calibri" w:hAnsi="Calibri"/>
          <w:b w:val="0"/>
          <w:i w:val="0"/>
        </w:rPr>
        <w:t>This produces roughly 50–58 postseason participants rather than manufacturing enough games for nearly every .500 team. It also gives traditional operators a future: the six premier bowls anchor CFP Bowl Weekend, while others can build Week 0, Week 1, or September intersectional events, hospitality, tourism, and sponsorship products.</w:t>
      </w:r>
    </w:p>
    <w:p>
      <w:pPr>
        <w:spacing w:before="120" w:after="200" w:line="288" w:lineRule="auto"/>
        <w:ind w:left="259" w:right="115"/>
        <w:shd w:fill="EAF4EE"/>
        <w:pBdr>
          <w:left w:val="single" w:sz="18" w:space="6" w:color="2D6A4F"/>
        </w:pBdr>
        <w:keepLines/>
      </w:pPr>
      <w:r>
        <w:rPr>
          <w:rFonts w:ascii="Calibri" w:hAnsi="Calibri"/>
          <w:b/>
          <w:color w:val="2D6A4F"/>
          <w:sz w:val="20"/>
        </w:rPr>
        <w:t xml:space="preserve">PROTECTED POSTSEASON INVENTORY  </w:t>
      </w:r>
      <w:r>
        <w:rPr>
          <w:rFonts w:ascii="Calibri" w:hAnsi="Calibri"/>
          <w:color w:val="0B2545"/>
          <w:sz w:val="21"/>
        </w:rPr>
        <w:t>Tuesday and Wednesday: National Tournament. Friday and Saturday: CFP. The result is a month of meaningful elimination football without forcing participating institutions to share the same windows as CFP games.</w:t>
      </w:r>
    </w:p>
    <w:p>
      <w:pPr>
        <w:pStyle w:val="Heading1"/>
        <w:keepNext/>
        <w:keepLines/>
      </w:pPr>
      <w:r>
        <w:t>10. Governance and Revenue</w:t>
      </w:r>
    </w:p>
    <w:p>
      <w:pPr>
        <w:pStyle w:val="Heading2"/>
        <w:keepNext/>
        <w:keepLines/>
      </w:pPr>
      <w:r>
        <w:t>10.1 Division of authority</w:t>
      </w:r>
    </w:p>
    <w:tbl>
      <w:tblPr>
        <w:tblW w:type="dxa" w:w="9360"/>
        <w:jc w:val="left"/>
        <w:tblLayout w:type="fixed"/>
        <w:tblLook w:firstColumn="1" w:firstRow="1" w:lastColumn="0" w:lastRow="0" w:noHBand="0" w:noVBand="1" w:val="04A0"/>
        <w:tblInd w:type="dxa" w:w="120"/>
      </w:tblPr>
      <w:tblGrid>
        <w:gridCol w:w="4680"/>
        <w:gridCol w:w="4680"/>
      </w:tblGrid>
      <w:tr>
        <w:trPr>
          <w:trHeight w:hRule="auto"/>
          <w:cantSplit w:val="true"/>
          <w:tblHeader w:val="true"/>
        </w:trPr>
        <w:tc>
          <w:tcPr>
            <w:tcW w:type="dxa" w:w="468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National framework controls</w:t>
            </w:r>
          </w:p>
        </w:tc>
        <w:tc>
          <w:tcPr>
            <w:tcW w:type="dxa" w:w="468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Conferences retain</w:t>
            </w:r>
          </w:p>
        </w:tc>
      </w:tr>
      <w:tr>
        <w:trPr>
          <w:cantSplit w:val="true"/>
          <w:trHeight w:hRule="auto"/>
        </w:trPr>
        <w:tc>
          <w:tcPr>
            <w:tcW w:type="dxa" w:w="468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CFP and National Tournament access</w:t>
            </w:r>
          </w:p>
        </w:tc>
        <w:tc>
          <w:tcPr>
            <w:tcW w:type="dxa" w:w="468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Membership and league identity</w:t>
            </w:r>
          </w:p>
        </w:tc>
      </w:tr>
      <w:tr>
        <w:trPr>
          <w:cantSplit w:val="true"/>
          <w:trHeight w:hRule="auto"/>
        </w:trPr>
        <w:tc>
          <w:tcPr>
            <w:tcW w:type="dxa" w:w="468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Minimum scheduling standards</w:t>
            </w:r>
          </w:p>
        </w:tc>
        <w:tc>
          <w:tcPr>
            <w:tcW w:type="dxa" w:w="468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Conference schedule construction</w:t>
            </w:r>
          </w:p>
        </w:tc>
      </w:tr>
      <w:tr>
        <w:trPr>
          <w:cantSplit w:val="true"/>
          <w:trHeight w:hRule="auto"/>
        </w:trPr>
        <w:tc>
          <w:tcPr>
            <w:tcW w:type="dxa" w:w="468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Ranking data and disclosure</w:t>
            </w:r>
          </w:p>
        </w:tc>
        <w:tc>
          <w:tcPr>
            <w:tcW w:type="dxa" w:w="468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Protected rivalries and rotation</w:t>
            </w:r>
          </w:p>
        </w:tc>
      </w:tr>
      <w:tr>
        <w:trPr>
          <w:cantSplit w:val="true"/>
          <w:trHeight w:hRule="auto"/>
        </w:trPr>
        <w:tc>
          <w:tcPr>
            <w:tcW w:type="dxa" w:w="468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Postseason calendar and site rules</w:t>
            </w:r>
          </w:p>
        </w:tc>
        <w:tc>
          <w:tcPr>
            <w:tcW w:type="dxa" w:w="468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Championship format within game-load limits</w:t>
            </w:r>
          </w:p>
        </w:tc>
      </w:tr>
      <w:tr>
        <w:trPr>
          <w:cantSplit w:val="true"/>
          <w:trHeight w:hRule="auto"/>
        </w:trPr>
        <w:tc>
          <w:tcPr>
            <w:tcW w:type="dxa" w:w="468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Roster-movement and recruiting windows</w:t>
            </w:r>
          </w:p>
        </w:tc>
        <w:tc>
          <w:tcPr>
            <w:tcW w:type="dxa" w:w="468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Media packages outside national events</w:t>
            </w:r>
          </w:p>
        </w:tc>
      </w:tr>
      <w:tr>
        <w:trPr>
          <w:cantSplit w:val="true"/>
          <w:trHeight w:hRule="auto"/>
        </w:trPr>
        <w:tc>
          <w:tcPr>
            <w:tcW w:type="dxa" w:w="468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Minimum contract, agent, and tampering standards</w:t>
            </w:r>
          </w:p>
        </w:tc>
        <w:tc>
          <w:tcPr>
            <w:tcW w:type="dxa" w:w="468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Revenue distribution within each conference</w:t>
            </w:r>
          </w:p>
        </w:tc>
      </w:tr>
    </w:tbl>
    <w:p>
      <w:pPr>
        <w:spacing w:before="0" w:after="40"/>
      </w:pPr>
    </w:p>
    <w:p>
      <w:pPr>
        <w:spacing w:before="0"/>
      </w:pPr>
      <w:r>
        <w:rPr>
          <w:rFonts w:ascii="Calibri" w:hAnsi="Calibri"/>
          <w:b w:val="0"/>
          <w:i w:val="0"/>
        </w:rPr>
        <w:t>A joint governing council should include CFP management, all FBS conferences, independent institutions, NCAA Division I representatives, athletics directors, faculty athletics representatives, coaches, current and former players, medical experts, and media/bowl partners. A separate College Football–NFL Coordination Council should add the NFL, NFLPA, athlete agents and advisers, and academic, medical, and labor experts. Player representation must be substantive wherever rules affect movement, contracts, workload, compensation, data, or professional transition.</w:t>
      </w:r>
    </w:p>
    <w:p>
      <w:pPr>
        <w:pStyle w:val="Heading2"/>
        <w:keepNext/>
        <w:keepLines/>
      </w:pPr>
      <w:r>
        <w:t>10.2 Revenue principles</w:t>
      </w:r>
    </w:p>
    <w:p>
      <w:pPr>
        <w:numPr>
          <w:ilvl w:val="0"/>
          <w:numId w:val="10"/>
        </w:numPr>
        <w:spacing w:after="80" w:line="290" w:lineRule="auto"/>
        <w:ind w:left="540" w:hanging="279"/>
        <w:keepLines/>
      </w:pPr>
      <w:r>
        <w:rPr>
          <w:rFonts w:ascii="Calibri" w:hAnsi="Calibri"/>
        </w:rPr>
        <w:t>Preserve conference base distributions so access reform does not destabilize entire leagues.</w:t>
      </w:r>
    </w:p>
    <w:p>
      <w:pPr>
        <w:numPr>
          <w:ilvl w:val="0"/>
          <w:numId w:val="10"/>
        </w:numPr>
        <w:spacing w:after="80" w:line="290" w:lineRule="auto"/>
        <w:ind w:left="540" w:hanging="279"/>
        <w:keepLines/>
      </w:pPr>
      <w:r>
        <w:rPr>
          <w:rFonts w:ascii="Calibri" w:hAnsi="Calibri"/>
        </w:rPr>
        <w:t>Add transparent participant and advancement payments for both postseason tournaments.</w:t>
      </w:r>
    </w:p>
    <w:p>
      <w:pPr>
        <w:numPr>
          <w:ilvl w:val="0"/>
          <w:numId w:val="10"/>
        </w:numPr>
        <w:spacing w:after="80" w:line="290" w:lineRule="auto"/>
        <w:ind w:left="540" w:hanging="279"/>
        <w:keepLines/>
      </w:pPr>
      <w:r>
        <w:rPr>
          <w:rFonts w:ascii="Calibri" w:hAnsi="Calibri"/>
        </w:rPr>
        <w:t>Fully fund travel, family-assistance, insurance, and student-support costs before discretionary distribution.</w:t>
      </w:r>
    </w:p>
    <w:p>
      <w:pPr>
        <w:numPr>
          <w:ilvl w:val="0"/>
          <w:numId w:val="10"/>
        </w:numPr>
        <w:spacing w:after="80" w:line="290" w:lineRule="auto"/>
        <w:ind w:left="540" w:hanging="279"/>
        <w:keepLines/>
      </w:pPr>
      <w:r>
        <w:rPr>
          <w:rFonts w:ascii="Calibri" w:hAnsi="Calibri"/>
        </w:rPr>
        <w:t>Create a defined National Tournament championship pool so its title carries material value.</w:t>
      </w:r>
    </w:p>
    <w:p>
      <w:pPr>
        <w:numPr>
          <w:ilvl w:val="0"/>
          <w:numId w:val="10"/>
        </w:numPr>
        <w:spacing w:after="80" w:line="290" w:lineRule="auto"/>
        <w:ind w:left="540" w:hanging="279"/>
        <w:keepLines/>
      </w:pPr>
      <w:r>
        <w:rPr>
          <w:rFonts w:ascii="Calibri" w:hAnsi="Calibri"/>
        </w:rPr>
        <w:t>Share incremental media value generated by protected weekday inventory and additional CFP rounds under negotiated conference and player-compensation rules.</w:t>
      </w:r>
    </w:p>
    <w:p>
      <w:pPr>
        <w:numPr>
          <w:ilvl w:val="0"/>
          <w:numId w:val="10"/>
        </w:numPr>
        <w:spacing w:after="80" w:line="290" w:lineRule="auto"/>
        <w:ind w:left="540" w:hanging="279"/>
        <w:keepLines/>
      </w:pPr>
      <w:r>
        <w:rPr>
          <w:rFonts w:ascii="Calibri" w:hAnsi="Calibri"/>
        </w:rPr>
        <w:t>Publish an annual audited distribution report.</w:t>
      </w:r>
    </w:p>
    <w:p>
      <w:pPr>
        <w:pStyle w:val="Heading2"/>
        <w:keepNext/>
        <w:keepLines/>
      </w:pPr>
      <w:r>
        <w:t>10.3 Rights-cycle reality</w:t>
      </w:r>
    </w:p>
    <w:p>
      <w:pPr>
        <w:spacing w:before="0"/>
      </w:pPr>
      <w:r>
        <w:rPr>
          <w:rFonts w:ascii="Calibri" w:hAnsi="Calibri"/>
          <w:b w:val="0"/>
          <w:i w:val="0"/>
        </w:rPr>
        <w:t>The current CFP media arrangement extends through the 2031–32 season. Implementation should therefore target the next available format and rights cycle unless the parties negotiate an earlier amendment. The calendar, bowl assignments, and protected Tuesday/Wednesday inventory should be negotiated as one portfolio so one reform does not undermine another.</w:t>
      </w:r>
    </w:p>
    <w:p>
      <w:pPr>
        <w:pStyle w:val="Heading2"/>
        <w:keepNext/>
        <w:keepLines/>
      </w:pPr>
      <w:r>
        <w:t>10.4 College Football–NFL Coordination Compact</w:t>
      </w:r>
    </w:p>
    <w:p>
      <w:pPr>
        <w:spacing w:before="0"/>
      </w:pPr>
      <w:r>
        <w:rPr>
          <w:rFonts w:ascii="Calibri" w:hAnsi="Calibri"/>
          <w:b w:val="0"/>
          <w:i w:val="0"/>
        </w:rPr>
        <w:t>The participating bodies should execute a three-year renewable compact with a public annual calendar, a written professional-transition protocol, designated operations and medical contacts, and a public year-end report. The compact does not transfer NCAA, CFP, conference, NFL, or collective-bargaining authority; it identifies decisions that must be coordinated and the parties responsible for resolving them.</w:t>
      </w:r>
    </w:p>
    <w:p>
      <w:pPr>
        <w:numPr>
          <w:ilvl w:val="0"/>
          <w:numId w:val="10"/>
        </w:numPr>
        <w:spacing w:after="80" w:line="290" w:lineRule="auto"/>
        <w:ind w:left="540" w:hanging="279"/>
        <w:keepLines/>
      </w:pPr>
      <w:r>
        <w:rPr>
          <w:rFonts w:ascii="Calibri" w:hAnsi="Calibri"/>
        </w:rPr>
        <w:t>Term and review: three years, annual performance review, and a negotiated renewal or sunset decision before the final season.</w:t>
      </w:r>
    </w:p>
    <w:p>
      <w:pPr>
        <w:numPr>
          <w:ilvl w:val="0"/>
          <w:numId w:val="10"/>
        </w:numPr>
        <w:spacing w:after="80" w:line="290" w:lineRule="auto"/>
        <w:ind w:left="540" w:hanging="279"/>
        <w:keepLines/>
      </w:pPr>
      <w:r>
        <w:rPr>
          <w:rFonts w:ascii="Calibri" w:hAnsi="Calibri"/>
        </w:rPr>
        <w:t>Reciprocity: college football supplies a mature development system and verified information; the NFL and NFLPA support education, insurance, health research, and predictable calendar space.</w:t>
      </w:r>
    </w:p>
    <w:p>
      <w:pPr>
        <w:numPr>
          <w:ilvl w:val="0"/>
          <w:numId w:val="10"/>
        </w:numPr>
        <w:spacing w:after="80" w:line="290" w:lineRule="auto"/>
        <w:ind w:left="540" w:hanging="279"/>
        <w:keepLines/>
      </w:pPr>
      <w:r>
        <w:rPr>
          <w:rFonts w:ascii="Calibri" w:hAnsi="Calibri"/>
        </w:rPr>
        <w:t>Transparency: publish calendar conflicts, transition statistics, material disputes, compact amendments, and independent audit findings.</w:t>
      </w:r>
    </w:p>
    <w:p>
      <w:pPr>
        <w:numPr>
          <w:ilvl w:val="0"/>
          <w:numId w:val="10"/>
        </w:numPr>
        <w:spacing w:after="80" w:line="290" w:lineRule="auto"/>
        <w:ind w:left="540" w:hanging="279"/>
        <w:keepLines/>
      </w:pPr>
      <w:r>
        <w:rPr>
          <w:rFonts w:ascii="Calibri" w:hAnsi="Calibri"/>
        </w:rPr>
        <w:t>Legal boundaries: subject every player-transition, data, compensation, and calendar provision to antitrust, labor, privacy, state-law, and collective-bargaining review before adoption.</w:t>
      </w:r>
    </w:p>
    <w:p>
      <w:pPr>
        <w:pStyle w:val="Heading1"/>
        <w:keepNext/>
        <w:keepLines/>
      </w:pPr>
      <w:r>
        <w:t>11. Implementation Roadmap</w:t>
      </w:r>
    </w:p>
    <w:tbl>
      <w:tblPr>
        <w:tblW w:type="dxa" w:w="9360"/>
        <w:jc w:val="left"/>
        <w:tblLayout w:type="fixed"/>
        <w:tblLook w:firstColumn="1" w:firstRow="1" w:lastColumn="0" w:lastRow="0" w:noHBand="0" w:noVBand="1" w:val="04A0"/>
        <w:tblInd w:type="dxa" w:w="120"/>
      </w:tblPr>
      <w:tblGrid>
        <w:gridCol w:w="2300"/>
        <w:gridCol w:w="1500"/>
        <w:gridCol w:w="5560"/>
      </w:tblGrid>
      <w:tr>
        <w:trPr>
          <w:trHeight w:hRule="auto"/>
          <w:cantSplit w:val="true"/>
          <w:tblHeader w:val="true"/>
        </w:trPr>
        <w:tc>
          <w:tcPr>
            <w:tcW w:type="dxa" w:w="23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7"/>
              </w:rPr>
              <w:t>Phase</w:t>
            </w:r>
          </w:p>
        </w:tc>
        <w:tc>
          <w:tcPr>
            <w:tcW w:type="dxa" w:w="15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7"/>
              </w:rPr>
              <w:t>Timing</w:t>
            </w:r>
          </w:p>
        </w:tc>
        <w:tc>
          <w:tcPr>
            <w:tcW w:type="dxa" w:w="556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7"/>
              </w:rPr>
              <w:t>Deliverable</w:t>
            </w:r>
          </w:p>
        </w:tc>
      </w:tr>
      <w:tr>
        <w:trPr>
          <w:cantSplit w:val="true"/>
          <w:trHeight w:hRule="auto"/>
        </w:trPr>
        <w:tc>
          <w:tcPr>
            <w:tcW w:type="dxa" w:w="2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Phase 1: Design and simulation</w:t>
            </w:r>
          </w:p>
        </w:tc>
        <w:tc>
          <w:tcPr>
            <w:tcW w:type="dxa" w:w="15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12 months</w:t>
            </w:r>
          </w:p>
        </w:tc>
        <w:tc>
          <w:tcPr>
            <w:tcW w:type="dxa" w:w="55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Back-test 18-team brackets, protection rules, NRR weights, game loads, attendance, campus logistics, and National Tournament fields across at least 10 historical seasons.</w:t>
            </w:r>
          </w:p>
        </w:tc>
      </w:tr>
      <w:tr>
        <w:trPr>
          <w:cantSplit w:val="true"/>
          <w:trHeight w:hRule="auto"/>
        </w:trPr>
        <w:tc>
          <w:tcPr>
            <w:tcW w:type="dxa" w:w="2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Phase 2: Governance and legal architecture</w:t>
            </w:r>
          </w:p>
        </w:tc>
        <w:tc>
          <w:tcPr>
            <w:tcW w:type="dxa" w:w="15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Parallel</w:t>
            </w:r>
          </w:p>
        </w:tc>
        <w:tc>
          <w:tcPr>
            <w:tcW w:type="dxa" w:w="55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Negotiate CFP/conference authority, player representation, media and bowl amendments, movement windows, contract rules, academic/medical standards, and the NFL/NFLPA coordination compact.</w:t>
            </w:r>
          </w:p>
        </w:tc>
      </w:tr>
      <w:tr>
        <w:trPr>
          <w:cantSplit w:val="true"/>
          <w:trHeight w:hRule="auto"/>
        </w:trPr>
        <w:tc>
          <w:tcPr>
            <w:tcW w:type="dxa" w:w="2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Phase 3: Data and schedule pilots</w:t>
            </w:r>
          </w:p>
        </w:tc>
        <w:tc>
          <w:tcPr>
            <w:tcW w:type="dxa" w:w="15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1–2 seasons</w:t>
            </w:r>
          </w:p>
        </w:tc>
        <w:tc>
          <w:tcPr>
            <w:tcW w:type="dxa" w:w="55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Publish NRR and Team Strength dashboards without binding effect; pilot interconference challenge scheduling, a joint football calendar, transition reporting, and transparent committee explanations.</w:t>
            </w:r>
          </w:p>
        </w:tc>
      </w:tr>
      <w:tr>
        <w:trPr>
          <w:cantSplit w:val="true"/>
          <w:trHeight w:hRule="auto"/>
        </w:trPr>
        <w:tc>
          <w:tcPr>
            <w:tcW w:type="dxa" w:w="2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Phase 4: Integrated launch</w:t>
            </w:r>
          </w:p>
        </w:tc>
        <w:tc>
          <w:tcPr>
            <w:tcW w:type="dxa" w:w="15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Rights-cycle target</w:t>
            </w:r>
          </w:p>
        </w:tc>
        <w:tc>
          <w:tcPr>
            <w:tcW w:type="dxa" w:w="55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Launch the 18-team CFP, championship protection, compressed postseason, and redesigned bowl round together.</w:t>
            </w:r>
          </w:p>
        </w:tc>
      </w:tr>
      <w:tr>
        <w:trPr>
          <w:cantSplit w:val="true"/>
          <w:trHeight w:hRule="auto"/>
        </w:trPr>
        <w:tc>
          <w:tcPr>
            <w:tcW w:type="dxa" w:w="2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Phase 5: National Tournament launch</w:t>
            </w:r>
          </w:p>
        </w:tc>
        <w:tc>
          <w:tcPr>
            <w:tcW w:type="dxa" w:w="15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Same year or next</w:t>
            </w:r>
          </w:p>
        </w:tc>
        <w:tc>
          <w:tcPr>
            <w:tcW w:type="dxa" w:w="55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Launch the protected weekday tournament after media, travel, and campus-host standards are certified.</w:t>
            </w:r>
          </w:p>
        </w:tc>
      </w:tr>
      <w:tr>
        <w:trPr>
          <w:cantSplit w:val="true"/>
          <w:trHeight w:hRule="auto"/>
        </w:trPr>
        <w:tc>
          <w:tcPr>
            <w:tcW w:type="dxa" w:w="23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Phase 6: Independent review</w:t>
            </w:r>
          </w:p>
        </w:tc>
        <w:tc>
          <w:tcPr>
            <w:tcW w:type="dxa" w:w="15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After Years 1 and 3</w:t>
            </w:r>
          </w:p>
        </w:tc>
        <w:tc>
          <w:tcPr>
            <w:tcW w:type="dxa" w:w="55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Audit injuries, academic effects, competitive balance, ratings accuracy, travel, viewership, revenue, and unintended incentives.</w:t>
            </w:r>
          </w:p>
        </w:tc>
      </w:tr>
    </w:tbl>
    <w:p>
      <w:pPr>
        <w:spacing w:before="0" w:after="40"/>
      </w:pPr>
    </w:p>
    <w:p>
      <w:pPr>
        <w:pStyle w:val="Heading2"/>
        <w:keepNext/>
        <w:keepLines/>
      </w:pPr>
      <w:r>
        <w:t>11.1 Required prelaunch tests</w:t>
      </w:r>
    </w:p>
    <w:p>
      <w:pPr>
        <w:numPr>
          <w:ilvl w:val="0"/>
          <w:numId w:val="10"/>
        </w:numPr>
        <w:spacing w:after="80" w:line="290" w:lineRule="auto"/>
        <w:ind w:left="540" w:hanging="279"/>
        <w:keepLines/>
      </w:pPr>
      <w:r>
        <w:rPr>
          <w:rFonts w:ascii="Calibri" w:hAnsi="Calibri"/>
        </w:rPr>
        <w:t>Bracket simulation: verify no assigned benefit group routinely receives an easier path than the group above it.</w:t>
      </w:r>
    </w:p>
    <w:p>
      <w:pPr>
        <w:numPr>
          <w:ilvl w:val="0"/>
          <w:numId w:val="10"/>
        </w:numPr>
        <w:spacing w:after="80" w:line="290" w:lineRule="auto"/>
        <w:ind w:left="540" w:hanging="279"/>
        <w:keepLines/>
      </w:pPr>
      <w:r>
        <w:rPr>
          <w:rFonts w:ascii="Calibri" w:hAnsi="Calibri"/>
        </w:rPr>
        <w:t>Protection simulation: verify no season produces more than two double byes or more than eight single byes.</w:t>
      </w:r>
    </w:p>
    <w:p>
      <w:pPr>
        <w:numPr>
          <w:ilvl w:val="0"/>
          <w:numId w:val="10"/>
        </w:numPr>
        <w:spacing w:after="80" w:line="290" w:lineRule="auto"/>
        <w:ind w:left="540" w:hanging="279"/>
        <w:keepLines/>
      </w:pPr>
      <w:r>
        <w:rPr>
          <w:rFonts w:ascii="Calibri" w:hAnsi="Calibri"/>
        </w:rPr>
        <w:t>Calendar stress test: confirm minimum rest, finals conflicts, campus availability, weather planning, and broadcast windows.</w:t>
      </w:r>
    </w:p>
    <w:p>
      <w:pPr>
        <w:numPr>
          <w:ilvl w:val="0"/>
          <w:numId w:val="10"/>
        </w:numPr>
        <w:spacing w:after="80" w:line="290" w:lineRule="auto"/>
        <w:ind w:left="540" w:hanging="279"/>
        <w:keepLines/>
      </w:pPr>
      <w:r>
        <w:rPr>
          <w:rFonts w:ascii="Calibri" w:hAnsi="Calibri"/>
        </w:rPr>
        <w:t>Ranking validation: publish out-of-sample accuracy, bias checks, sensitivity to schedule networks, and model-gaming tests.</w:t>
      </w:r>
    </w:p>
    <w:p>
      <w:pPr>
        <w:numPr>
          <w:ilvl w:val="0"/>
          <w:numId w:val="10"/>
        </w:numPr>
        <w:spacing w:after="80" w:line="290" w:lineRule="auto"/>
        <w:ind w:left="540" w:hanging="279"/>
        <w:keepLines/>
      </w:pPr>
      <w:r>
        <w:rPr>
          <w:rFonts w:ascii="Calibri" w:hAnsi="Calibri"/>
        </w:rPr>
        <w:t>Financial model: quantify media inventory, host costs, bowl guarantees, participant distributions, and travel support.</w:t>
      </w:r>
    </w:p>
    <w:p>
      <w:pPr>
        <w:numPr>
          <w:ilvl w:val="0"/>
          <w:numId w:val="10"/>
        </w:numPr>
        <w:spacing w:after="80" w:line="290" w:lineRule="auto"/>
        <w:ind w:left="540" w:hanging="279"/>
        <w:keepLines/>
      </w:pPr>
      <w:r>
        <w:rPr>
          <w:rFonts w:ascii="Calibri" w:hAnsi="Calibri"/>
        </w:rPr>
        <w:t>Legal and labor review: verify enforceability of movement, contract, coaching, compensation, and agent provisions.</w:t>
      </w:r>
    </w:p>
    <w:p>
      <w:pPr>
        <w:numPr>
          <w:ilvl w:val="0"/>
          <w:numId w:val="10"/>
        </w:numPr>
        <w:spacing w:after="80" w:line="290" w:lineRule="auto"/>
        <w:ind w:left="540" w:hanging="279"/>
        <w:keepLines/>
      </w:pPr>
      <w:r>
        <w:rPr>
          <w:rFonts w:ascii="Calibri" w:hAnsi="Calibri"/>
        </w:rPr>
        <w:t>College–NFL calendar simulation: measure CFP/NFL overlap, audience handoffs, operational contingencies, travel, and the feasibility of a protected Saturday-night championship window.</w:t>
      </w:r>
    </w:p>
    <w:p>
      <w:pPr>
        <w:numPr>
          <w:ilvl w:val="0"/>
          <w:numId w:val="10"/>
        </w:numPr>
        <w:spacing w:after="80" w:line="290" w:lineRule="auto"/>
        <w:ind w:left="540" w:hanging="279"/>
        <w:keepLines/>
      </w:pPr>
      <w:r>
        <w:rPr>
          <w:rFonts w:ascii="Calibri" w:hAnsi="Calibri"/>
        </w:rPr>
        <w:t>Professional-transition test: validate declaration, withdrawal, contract-finality, roster, agent, data, insurance, and appeal rules with the NFLPA and athlete representatives.</w:t>
      </w:r>
    </w:p>
    <w:p>
      <w:pPr>
        <w:pStyle w:val="Heading1"/>
        <w:keepNext/>
        <w:keepLines/>
      </w:pPr>
      <w:r>
        <w:t>12. Principal Risks and Mitigations</w:t>
      </w:r>
    </w:p>
    <w:tbl>
      <w:tblPr>
        <w:tblW w:type="dxa" w:w="9360"/>
        <w:jc w:val="left"/>
        <w:tblLayout w:type="fixed"/>
        <w:tblLook w:firstColumn="1" w:firstRow="1" w:lastColumn="0" w:lastRow="0" w:noHBand="0" w:noVBand="1" w:val="04A0"/>
        <w:tblInd w:type="dxa" w:w="120"/>
      </w:tblPr>
      <w:tblGrid>
        <w:gridCol w:w="1800"/>
        <w:gridCol w:w="2700"/>
        <w:gridCol w:w="4860"/>
      </w:tblGrid>
      <w:tr>
        <w:trPr>
          <w:trHeight w:hRule="auto"/>
          <w:cantSplit w:val="true"/>
          <w:tblHeader w:val="true"/>
        </w:trPr>
        <w:tc>
          <w:tcPr>
            <w:tcW w:type="dxa" w:w="18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7"/>
              </w:rPr>
              <w:t>Risk</w:t>
            </w:r>
          </w:p>
        </w:tc>
        <w:tc>
          <w:tcPr>
            <w:tcW w:type="dxa" w:w="27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7"/>
              </w:rPr>
              <w:t>Concern</w:t>
            </w:r>
          </w:p>
        </w:tc>
        <w:tc>
          <w:tcPr>
            <w:tcW w:type="dxa" w:w="486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7"/>
              </w:rPr>
              <w:t>Mitigation</w:t>
            </w:r>
          </w:p>
        </w:tc>
      </w:tr>
      <w:tr>
        <w:trPr>
          <w:cantSplit w:val="true"/>
          <w:trHeight w:hRule="auto"/>
        </w:trPr>
        <w:tc>
          <w:tcPr>
            <w:tcW w:type="dxa" w:w="18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Player workload</w:t>
            </w:r>
          </w:p>
        </w:tc>
        <w:tc>
          <w:tcPr>
            <w:tcW w:type="dxa" w:w="2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An opening-round participant could play 18 games.</w:t>
            </w:r>
          </w:p>
        </w:tc>
        <w:tc>
          <w:tcPr>
            <w:tcW w:type="dxa" w:w="48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Christmas pause; practice-load limits; one-game conference title preference; medical monitoring; no extra conference round without a shorter regular season.</w:t>
            </w:r>
          </w:p>
        </w:tc>
      </w:tr>
      <w:tr>
        <w:trPr>
          <w:cantSplit w:val="true"/>
          <w:trHeight w:hRule="auto"/>
        </w:trPr>
        <w:tc>
          <w:tcPr>
            <w:tcW w:type="dxa" w:w="18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Protection complexity</w:t>
            </w:r>
          </w:p>
        </w:tc>
        <w:tc>
          <w:tcPr>
            <w:tcW w:type="dxa" w:w="2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Floors can confuse fans or create capacity conflicts.</w:t>
            </w:r>
          </w:p>
        </w:tc>
        <w:tc>
          <w:tcPr>
            <w:tcW w:type="dxa" w:w="48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Protect benefit tiers—not every numerical rank—and explicitly cap double and single byes.</w:t>
            </w:r>
          </w:p>
        </w:tc>
      </w:tr>
      <w:tr>
        <w:trPr>
          <w:cantSplit w:val="true"/>
          <w:trHeight w:hRule="auto"/>
        </w:trPr>
        <w:tc>
          <w:tcPr>
            <w:tcW w:type="dxa" w:w="18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Neutral-site attendance</w:t>
            </w:r>
          </w:p>
        </w:tc>
        <w:tc>
          <w:tcPr>
            <w:tcW w:type="dxa" w:w="2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Six bowls in one weekend require travel.</w:t>
            </w:r>
          </w:p>
        </w:tc>
        <w:tc>
          <w:tcPr>
            <w:tcW w:type="dxa" w:w="48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Make it the only destination CFP round; regional assignment; travel assistance; flexible venue capacity.</w:t>
            </w:r>
          </w:p>
        </w:tc>
      </w:tr>
      <w:tr>
        <w:trPr>
          <w:cantSplit w:val="true"/>
          <w:trHeight w:hRule="auto"/>
        </w:trPr>
        <w:tc>
          <w:tcPr>
            <w:tcW w:type="dxa" w:w="18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Model manipulation</w:t>
            </w:r>
          </w:p>
        </w:tc>
        <w:tc>
          <w:tcPr>
            <w:tcW w:type="dxa" w:w="2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Teams may optimize around published rating weights.</w:t>
            </w:r>
          </w:p>
        </w:tc>
        <w:tc>
          <w:tcPr>
            <w:tcW w:type="dxa" w:w="48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Use capped margins, multi-factor metrics, annual independent audits, and limited contextual discretion.</w:t>
            </w:r>
          </w:p>
        </w:tc>
      </w:tr>
      <w:tr>
        <w:trPr>
          <w:cantSplit w:val="true"/>
          <w:trHeight w:hRule="auto"/>
        </w:trPr>
        <w:tc>
          <w:tcPr>
            <w:tcW w:type="dxa" w:w="18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National Tournament status</w:t>
            </w:r>
          </w:p>
        </w:tc>
        <w:tc>
          <w:tcPr>
            <w:tcW w:type="dxa" w:w="2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Could be viewed as a consolation bracket.</w:t>
            </w:r>
          </w:p>
        </w:tc>
        <w:tc>
          <w:tcPr>
            <w:tcW w:type="dxa" w:w="48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Exclusive non-Power Four eligibility, a distinct identity, campus elimination games, meaningful revenue, and a next-year showcase reward.</w:t>
            </w:r>
          </w:p>
        </w:tc>
      </w:tr>
      <w:tr>
        <w:trPr>
          <w:cantSplit w:val="true"/>
          <w:trHeight w:hRule="auto"/>
        </w:trPr>
        <w:tc>
          <w:tcPr>
            <w:tcW w:type="dxa" w:w="18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Legal and labor constraints</w:t>
            </w:r>
          </w:p>
        </w:tc>
        <w:tc>
          <w:tcPr>
            <w:tcW w:type="dxa" w:w="2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Roster freezes and contracts may implicate employment and antitrust law.</w:t>
            </w:r>
          </w:p>
        </w:tc>
        <w:tc>
          <w:tcPr>
            <w:tcW w:type="dxa" w:w="48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Use negotiated, represented, and legally reviewed implementation; preserve hardship and coach-change exceptions.</w:t>
            </w:r>
          </w:p>
        </w:tc>
      </w:tr>
      <w:tr>
        <w:trPr>
          <w:cantSplit w:val="true"/>
          <w:trHeight w:hRule="auto"/>
        </w:trPr>
        <w:tc>
          <w:tcPr>
            <w:tcW w:type="dxa" w:w="18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Contract timing</w:t>
            </w:r>
          </w:p>
        </w:tc>
        <w:tc>
          <w:tcPr>
            <w:tcW w:type="dxa" w:w="2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Existing media and bowl agreements may limit early change.</w:t>
            </w:r>
          </w:p>
        </w:tc>
        <w:tc>
          <w:tcPr>
            <w:tcW w:type="dxa" w:w="48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Target the next rights cycle or negotiate an integrated amendment rather than piecemeal exceptions.</w:t>
            </w:r>
          </w:p>
        </w:tc>
      </w:tr>
    </w:tbl>
    <w:p>
      <w:pPr>
        <w:spacing w:before="0" w:after="40"/>
      </w:pPr>
    </w:p>
    <w:p>
      <w:pPr>
        <w:pStyle w:val="Heading1"/>
        <w:keepNext/>
        <w:keepLines/>
      </w:pPr>
      <w:r>
        <w:t>13. Proposed National Framework Principles</w:t>
      </w:r>
    </w:p>
    <w:p>
      <w:pPr>
        <w:numPr>
          <w:ilvl w:val="0"/>
          <w:numId w:val="12"/>
        </w:numPr>
        <w:spacing w:after="80" w:line="290" w:lineRule="auto"/>
        <w:ind w:left="540" w:hanging="279"/>
        <w:keepLines/>
      </w:pPr>
      <w:r>
        <w:rPr>
          <w:rFonts w:ascii="Calibri" w:hAnsi="Calibri"/>
        </w:rPr>
        <w:t>Conferences control their leagues; the national system controls championship access, minimum scheduling standards, roster windows, ranking disclosure, and postseason structure.</w:t>
      </w:r>
    </w:p>
    <w:p>
      <w:pPr>
        <w:numPr>
          <w:ilvl w:val="0"/>
          <w:numId w:val="12"/>
        </w:numPr>
        <w:spacing w:after="80" w:line="290" w:lineRule="auto"/>
        <w:ind w:left="540" w:hanging="279"/>
        <w:keepLines/>
      </w:pPr>
      <w:r>
        <w:rPr>
          <w:rFonts w:ascii="Calibri" w:hAnsi="Calibri"/>
        </w:rPr>
        <w:t>Reward institutions for playing difficult games, winning conferences, and finishing highly. Never reward institutions for avoiding competition.</w:t>
      </w:r>
    </w:p>
    <w:p>
      <w:pPr>
        <w:numPr>
          <w:ilvl w:val="0"/>
          <w:numId w:val="12"/>
        </w:numPr>
        <w:spacing w:after="80" w:line="290" w:lineRule="auto"/>
        <w:ind w:left="540" w:hanging="279"/>
        <w:keepLines/>
      </w:pPr>
      <w:r>
        <w:rPr>
          <w:rFonts w:ascii="Calibri" w:hAnsi="Calibri"/>
        </w:rPr>
        <w:t>No institution loses priority for an earned playoff benefit solely because its conference required an extra championship game.</w:t>
      </w:r>
    </w:p>
    <w:p>
      <w:pPr>
        <w:numPr>
          <w:ilvl w:val="0"/>
          <w:numId w:val="12"/>
        </w:numPr>
        <w:spacing w:after="80" w:line="290" w:lineRule="auto"/>
        <w:ind w:left="540" w:hanging="279"/>
        <w:keepLines/>
      </w:pPr>
      <w:r>
        <w:rPr>
          <w:rFonts w:ascii="Calibri" w:hAnsi="Calibri"/>
        </w:rPr>
        <w:t>Polls remain part of the sport’s culture, but preseason reputation has no official championship consequence.</w:t>
      </w:r>
    </w:p>
    <w:p>
      <w:pPr>
        <w:numPr>
          <w:ilvl w:val="0"/>
          <w:numId w:val="12"/>
        </w:numPr>
        <w:spacing w:after="80" w:line="290" w:lineRule="auto"/>
        <w:ind w:left="540" w:hanging="279"/>
        <w:keepLines/>
      </w:pPr>
      <w:r>
        <w:rPr>
          <w:rFonts w:ascii="Calibri" w:hAnsi="Calibri"/>
        </w:rPr>
        <w:t>Whenever students are on campus, play the biggest feasible games on campus.</w:t>
      </w:r>
    </w:p>
    <w:p>
      <w:pPr>
        <w:numPr>
          <w:ilvl w:val="0"/>
          <w:numId w:val="12"/>
        </w:numPr>
        <w:spacing w:after="80" w:line="290" w:lineRule="auto"/>
        <w:ind w:left="540" w:hanging="279"/>
        <w:keepLines/>
      </w:pPr>
      <w:r>
        <w:rPr>
          <w:rFonts w:ascii="Calibri" w:hAnsi="Calibri"/>
        </w:rPr>
        <w:t>Protect the active season from transfer, signing, and coaching-market disruption.</w:t>
      </w:r>
    </w:p>
    <w:p>
      <w:pPr>
        <w:numPr>
          <w:ilvl w:val="0"/>
          <w:numId w:val="12"/>
        </w:numPr>
        <w:spacing w:after="80" w:line="290" w:lineRule="auto"/>
        <w:ind w:left="540" w:hanging="279"/>
        <w:keepLines/>
      </w:pPr>
      <w:r>
        <w:rPr>
          <w:rFonts w:ascii="Calibri" w:hAnsi="Calibri"/>
        </w:rPr>
        <w:t>Keep every FBS institution within one subdivision while establishing distinct, clearly defined postseason opportunities.</w:t>
      </w:r>
    </w:p>
    <w:p>
      <w:pPr>
        <w:pStyle w:val="Heading1"/>
        <w:keepNext/>
        <w:keepLines/>
      </w:pPr>
      <w:r>
        <w:t>Conclusion</w:t>
      </w:r>
    </w:p>
    <w:p>
      <w:pPr>
        <w:spacing w:before="0"/>
      </w:pPr>
      <w:r>
        <w:rPr>
          <w:rFonts w:ascii="Calibri" w:hAnsi="Calibri"/>
          <w:b w:val="0"/>
          <w:i w:val="0"/>
        </w:rPr>
        <w:t>This proposal is not an argument for making every institution equal. It is an argument for making every segment of the sport meaningful. The CFP remains the sole FBS national championship. The National Tournament gives eligible institutions outside the Power Four a legitimate postseason objective. Traditional bowls survive where they add value. Conference titles matter, elite regular seasons earn extraordinary advantages, difficult scheduling is rewarded, and the roster calendar stops fighting the football calendar.</w:t>
      </w:r>
    </w:p>
    <w:p>
      <w:pPr>
        <w:spacing w:before="0"/>
      </w:pPr>
      <w:r>
        <w:rPr>
          <w:rFonts w:ascii="Calibri" w:hAnsi="Calibri"/>
          <w:b w:val="0"/>
          <w:i w:val="0"/>
        </w:rPr>
        <w:t>The result is a sport that is more national without becoming generic, more structured without becoming professionalized beyond recognition, and more inclusive without flattening excellence. The proposal’s defining promise is simple: keep the traditions people love, and redesign the incentives that currently work against them.</w:t>
      </w:r>
    </w:p>
    <w:p>
      <w:pPr>
        <w:spacing w:before="120" w:after="200" w:line="288" w:lineRule="auto"/>
        <w:ind w:left="259" w:right="115"/>
        <w:shd w:fill="E8EEF5"/>
        <w:pBdr>
          <w:left w:val="single" w:sz="18" w:space="6" w:color="1F4D78"/>
        </w:pBdr>
        <w:keepLines/>
      </w:pPr>
      <w:r>
        <w:rPr>
          <w:rFonts w:ascii="Calibri" w:hAnsi="Calibri"/>
          <w:b/>
          <w:color w:val="1F4D78"/>
          <w:sz w:val="20"/>
        </w:rPr>
        <w:t xml:space="preserve">RECOMMENDED ACTION  </w:t>
      </w:r>
      <w:r>
        <w:rPr>
          <w:rFonts w:ascii="Calibri" w:hAnsi="Calibri"/>
          <w:color w:val="0B2545"/>
          <w:sz w:val="21"/>
        </w:rPr>
        <w:t>Begin the joint design, simulation, legal, media, and player-representation process now so a complete integrated system is ready for the next available CFP format and rights cycle.</w:t>
      </w:r>
    </w:p>
    <w:p>
      <w:r>
        <w:br w:type="page"/>
      </w:r>
    </w:p>
    <w:p>
      <w:pPr>
        <w:pStyle w:val="Heading1"/>
        <w:keepNext/>
        <w:keepLines/>
      </w:pPr>
      <w:r>
        <w:t>Appendix A. Companion Implementation Package</w:t>
      </w:r>
    </w:p>
    <w:p>
      <w:pPr>
        <w:pStyle w:val="ProposalLead"/>
        <w:spacing w:before="0"/>
      </w:pPr>
      <w:r>
        <w:rPr>
          <w:rFonts w:ascii="Calibri" w:hAnsi="Calibri"/>
          <w:b w:val="0"/>
          <w:i w:val="0"/>
        </w:rPr>
        <w:t>The main proposal states the recommended competition policy. Detailed testing, costing, legal analysis, athlete-protection standards, and implementation instruments are maintained as companion work products so the proposal remains readable while every recommendation remains testable and auditable.</w:t>
      </w:r>
    </w:p>
    <w:tbl>
      <w:tblPr>
        <w:tblW w:type="dxa" w:w="9360"/>
        <w:jc w:val="left"/>
        <w:tblLayout w:type="fixed"/>
        <w:tblLook w:firstColumn="1" w:firstRow="1" w:lastColumn="0" w:lastRow="0" w:noHBand="0" w:noVBand="1" w:val="04A0"/>
        <w:tblInd w:type="dxa" w:w="120"/>
      </w:tblPr>
      <w:tblGrid>
        <w:gridCol w:w="2700"/>
        <w:gridCol w:w="4260"/>
        <w:gridCol w:w="2400"/>
      </w:tblGrid>
      <w:tr>
        <w:trPr>
          <w:trHeight w:hRule="auto"/>
          <w:cantSplit w:val="true"/>
          <w:tblHeader w:val="true"/>
        </w:trPr>
        <w:tc>
          <w:tcPr>
            <w:tcW w:type="dxa" w:w="27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7"/>
              </w:rPr>
              <w:t>Work product</w:t>
            </w:r>
          </w:p>
        </w:tc>
        <w:tc>
          <w:tcPr>
            <w:tcW w:type="dxa" w:w="426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7"/>
              </w:rPr>
              <w:t>Purpose</w:t>
            </w:r>
          </w:p>
        </w:tc>
        <w:tc>
          <w:tcPr>
            <w:tcW w:type="dxa" w:w="24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7"/>
              </w:rPr>
              <w:t>Status in package</w:t>
            </w:r>
          </w:p>
        </w:tc>
      </w:tr>
      <w:tr>
        <w:trPr>
          <w:cantSplit w:val="true"/>
          <w:trHeight w:hRule="auto"/>
        </w:trPr>
        <w:tc>
          <w:tcPr>
            <w:tcW w:type="dxa" w:w="2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Historical Simulation and Feasibility Workbook</w:t>
            </w:r>
          </w:p>
        </w:tc>
        <w:tc>
          <w:tcPr>
            <w:tcW w:type="dxa" w:w="42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Back-test berth, bye, hosting, calendar, workload, and scenario assumptions using transparent formulas.</w:t>
            </w:r>
          </w:p>
        </w:tc>
        <w:tc>
          <w:tcPr>
            <w:tcW w:type="dxa" w:w="24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Initial model supplied; historical inputs remain updateable.</w:t>
            </w:r>
          </w:p>
        </w:tc>
      </w:tr>
      <w:tr>
        <w:trPr>
          <w:cantSplit w:val="true"/>
          <w:trHeight w:hRule="auto"/>
        </w:trPr>
        <w:tc>
          <w:tcPr>
            <w:tcW w:type="dxa" w:w="2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Competition Validation and Implementation Brief</w:t>
            </w:r>
          </w:p>
        </w:tc>
        <w:tc>
          <w:tcPr>
            <w:tcW w:type="dxa" w:w="42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Document testing standards for rankings, calendar, athlete welfare, legal review, sponsorship, and legislative conversion.</w:t>
            </w:r>
          </w:p>
        </w:tc>
        <w:tc>
          <w:tcPr>
            <w:tcW w:type="dxa" w:w="24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Initial framework supplied.</w:t>
            </w:r>
          </w:p>
        </w:tc>
      </w:tr>
      <w:tr>
        <w:trPr>
          <w:cantSplit w:val="true"/>
          <w:trHeight w:hRule="auto"/>
        </w:trPr>
        <w:tc>
          <w:tcPr>
            <w:tcW w:type="dxa" w:w="2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Financial and Media Feasibility Framework</w:t>
            </w:r>
          </w:p>
        </w:tc>
        <w:tc>
          <w:tcPr>
            <w:tcW w:type="dxa" w:w="42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Define the rights inventory, cost model, revenue waterfall, sensitivities, and data requests required for a negotiated term sheet.</w:t>
            </w:r>
          </w:p>
        </w:tc>
        <w:tc>
          <w:tcPr>
            <w:tcW w:type="dxa" w:w="24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Initial framework supplied; commercial inputs intentionally unpriced.</w:t>
            </w:r>
          </w:p>
        </w:tc>
      </w:tr>
      <w:tr>
        <w:trPr>
          <w:cantSplit w:val="true"/>
          <w:trHeight w:hRule="auto"/>
        </w:trPr>
        <w:tc>
          <w:tcPr>
            <w:tcW w:type="dxa" w:w="2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NIL and Athlete Economic Rights Framework</w:t>
            </w:r>
          </w:p>
        </w:tc>
        <w:tc>
          <w:tcPr>
            <w:tcW w:type="dxa" w:w="42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Set principles for legitimate NIL activity, disclosure, education, enforcement, representation, and alignment with institutional payments.</w:t>
            </w:r>
          </w:p>
        </w:tc>
        <w:tc>
          <w:tcPr>
            <w:tcW w:type="dxa" w:w="24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Separate sub-proposal supplied.</w:t>
            </w:r>
          </w:p>
        </w:tc>
      </w:tr>
      <w:tr>
        <w:trPr>
          <w:cantSplit w:val="true"/>
          <w:trHeight w:hRule="auto"/>
        </w:trPr>
        <w:tc>
          <w:tcPr>
            <w:tcW w:type="dxa" w:w="2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Public Communication and Advocacy Kit</w:t>
            </w:r>
          </w:p>
        </w:tc>
        <w:tc>
          <w:tcPr>
            <w:tcW w:type="dxa" w:w="42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Translate the proposal into a public statement, submission note, frequently asked questions, and discussion-ready social copy.</w:t>
            </w:r>
          </w:p>
        </w:tc>
        <w:tc>
          <w:tcPr>
            <w:tcW w:type="dxa" w:w="24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Publication-ready communications supplied.</w:t>
            </w:r>
          </w:p>
        </w:tc>
      </w:tr>
      <w:tr>
        <w:trPr>
          <w:cantSplit w:val="true"/>
          <w:trHeight w:hRule="auto"/>
        </w:trPr>
        <w:tc>
          <w:tcPr>
            <w:tcW w:type="dxa" w:w="2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College Football–NFL Coordination Compact</w:t>
            </w:r>
          </w:p>
        </w:tc>
        <w:tc>
          <w:tcPr>
            <w:tcW w:type="dxa" w:w="42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Define calendar cooperation, a protected Saturday-night championship target, one professional-transition doorway, and reciprocal development obligations.</w:t>
            </w:r>
          </w:p>
        </w:tc>
        <w:tc>
          <w:tcPr>
            <w:tcW w:type="dxa" w:w="24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Submission-ready companion compact supplied; negotiation and legal review required.</w:t>
            </w:r>
          </w:p>
        </w:tc>
      </w:tr>
      <w:tr>
        <w:trPr>
          <w:cantSplit w:val="true"/>
          <w:trHeight w:hRule="auto"/>
        </w:trPr>
        <w:tc>
          <w:tcPr>
            <w:tcW w:type="dxa" w:w="27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College Football–NFL Negotiation Brief</w:t>
            </w:r>
          </w:p>
        </w:tc>
        <w:tc>
          <w:tcPr>
            <w:tcW w:type="dxa" w:w="42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Convert the coordination compact into a two-page decision brief with calendar scenarios, authority assignments, player-status rules, and a 180-day work plan.</w:t>
            </w:r>
          </w:p>
        </w:tc>
        <w:tc>
          <w:tcPr>
            <w:tcW w:type="dxa" w:w="24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7"/>
              </w:rPr>
              <w:t>Submission-ready negotiation aid supplied.</w:t>
            </w:r>
          </w:p>
        </w:tc>
      </w:tr>
    </w:tbl>
    <w:p>
      <w:pPr>
        <w:spacing w:before="0" w:after="40"/>
      </w:pPr>
    </w:p>
    <w:p>
      <w:pPr>
        <w:spacing w:before="120" w:after="200" w:line="288" w:lineRule="auto"/>
        <w:ind w:left="259" w:right="115"/>
        <w:shd w:fill="F7F0D8"/>
        <w:pBdr>
          <w:left w:val="single" w:sz="18" w:space="6" w:color="7A5A00"/>
        </w:pBdr>
        <w:keepLines/>
      </w:pPr>
      <w:r>
        <w:rPr>
          <w:rFonts w:ascii="Calibri" w:hAnsi="Calibri"/>
          <w:b/>
          <w:color w:val="7A5A00"/>
          <w:sz w:val="20"/>
        </w:rPr>
        <w:t xml:space="preserve">DOCUMENT HIERARCHY  </w:t>
      </w:r>
      <w:r>
        <w:rPr>
          <w:rFonts w:ascii="Calibri" w:hAnsi="Calibri"/>
          <w:color w:val="0B2545"/>
          <w:sz w:val="21"/>
        </w:rPr>
        <w:t>If a companion analysis changes a policy choice, the main proposal is amended through version control. Assumptions, open data requests, and unvalidated estimates remain labeled in the companion work rather than presented as settled facts.</w:t>
      </w:r>
    </w:p>
    <w:p>
      <w:pPr>
        <w:pStyle w:val="Heading1"/>
        <w:keepNext/>
        <w:keepLines/>
      </w:pPr>
      <w:r>
        <w:t>Appendix B. Illustrative 18-Team Bracket</w:t>
      </w:r>
    </w:p>
    <w:p>
      <w:pPr>
        <w:spacing w:before="0"/>
      </w:pPr>
      <w:r>
        <w:rPr>
          <w:rFonts w:ascii="Calibri" w:hAnsi="Calibri"/>
          <w:b w:val="0"/>
          <w:i w:val="0"/>
        </w:rPr>
        <w:t>This illustration shows mechanics, not a prediction. Assume Round 1 winners are Nos. 11, 12, 14, and 16. The Round 2 pool is then reseeded by the final underlying ranking.</w:t>
      </w:r>
    </w:p>
    <w:tbl>
      <w:tblPr>
        <w:tblW w:type="dxa" w:w="9360"/>
        <w:jc w:val="left"/>
        <w:tblLayout w:type="fixed"/>
        <w:tblLook w:firstColumn="1" w:firstRow="1" w:lastColumn="0" w:lastRow="0" w:noHBand="0" w:noVBand="1" w:val="04A0"/>
        <w:tblInd w:type="dxa" w:w="120"/>
      </w:tblPr>
      <w:tblGrid>
        <w:gridCol w:w="2600"/>
        <w:gridCol w:w="6760"/>
      </w:tblGrid>
      <w:tr>
        <w:trPr>
          <w:trHeight w:hRule="auto"/>
          <w:cantSplit w:val="true"/>
          <w:tblHeader w:val="true"/>
        </w:trPr>
        <w:tc>
          <w:tcPr>
            <w:tcW w:type="dxa" w:w="26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Stage</w:t>
            </w:r>
          </w:p>
        </w:tc>
        <w:tc>
          <w:tcPr>
            <w:tcW w:type="dxa" w:w="676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Matchups</w:t>
            </w:r>
          </w:p>
        </w:tc>
      </w:tr>
      <w:tr>
        <w:trPr>
          <w:cantSplit w:val="true"/>
          <w:trHeight w:hRule="auto"/>
        </w:trPr>
        <w:tc>
          <w:tcPr>
            <w:tcW w:type="dxa" w:w="26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Round 1</w:t>
            </w:r>
          </w:p>
        </w:tc>
        <w:tc>
          <w:tcPr>
            <w:tcW w:type="dxa" w:w="67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11–18; 12–17; 13–16; 14–15</w:t>
            </w:r>
          </w:p>
        </w:tc>
      </w:tr>
      <w:tr>
        <w:trPr>
          <w:cantSplit w:val="true"/>
          <w:trHeight w:hRule="auto"/>
        </w:trPr>
        <w:tc>
          <w:tcPr>
            <w:tcW w:type="dxa" w:w="26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Round 2 after Reseed 1</w:t>
            </w:r>
          </w:p>
        </w:tc>
        <w:tc>
          <w:tcPr>
            <w:tcW w:type="dxa" w:w="67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3–16; 4–14; 5–12; 6–11; 7–10; 8–9</w:t>
            </w:r>
          </w:p>
        </w:tc>
      </w:tr>
      <w:tr>
        <w:trPr>
          <w:cantSplit w:val="true"/>
          <w:trHeight w:hRule="auto"/>
        </w:trPr>
        <w:tc>
          <w:tcPr>
            <w:tcW w:type="dxa" w:w="26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Illustrative Round 2 survivors</w:t>
            </w:r>
          </w:p>
        </w:tc>
        <w:tc>
          <w:tcPr>
            <w:tcW w:type="dxa" w:w="67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3, 4, 6, 7, 11, 14</w:t>
            </w:r>
          </w:p>
        </w:tc>
      </w:tr>
      <w:tr>
        <w:trPr>
          <w:cantSplit w:val="true"/>
          <w:trHeight w:hRule="auto"/>
        </w:trPr>
        <w:tc>
          <w:tcPr>
            <w:tcW w:type="dxa" w:w="26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Quarterfinals after Reseed 2</w:t>
            </w:r>
          </w:p>
        </w:tc>
        <w:tc>
          <w:tcPr>
            <w:tcW w:type="dxa" w:w="67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1–14; 2–11; 3–7; 4–6</w:t>
            </w:r>
          </w:p>
        </w:tc>
      </w:tr>
      <w:tr>
        <w:trPr>
          <w:cantSplit w:val="true"/>
          <w:trHeight w:hRule="auto"/>
        </w:trPr>
        <w:tc>
          <w:tcPr>
            <w:tcW w:type="dxa" w:w="26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After quarterfinal setup</w:t>
            </w:r>
          </w:p>
        </w:tc>
        <w:tc>
          <w:tcPr>
            <w:tcW w:type="dxa" w:w="67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Bracket locks; higher original CFP seed hosts each semifinal</w:t>
            </w:r>
          </w:p>
        </w:tc>
      </w:tr>
    </w:tbl>
    <w:p>
      <w:pPr>
        <w:spacing w:before="0" w:after="40"/>
      </w:pPr>
    </w:p>
    <w:p>
      <w:pPr>
        <w:spacing w:before="0"/>
      </w:pPr>
      <w:r>
        <w:rPr>
          <w:rFonts w:ascii="Calibri" w:hAnsi="Calibri"/>
          <w:b w:val="0"/>
          <w:i w:val="0"/>
        </w:rPr>
        <w:t>If a conference champion carried an administrative bye despite an underlying ranking below No. 10, it would be ordered at its true ranking during Reseed 1. This prevents the bracket from giving a lower-rated champion a better path than a higher-rated at-large team.</w:t>
      </w:r>
    </w:p>
    <w:p>
      <w:pPr>
        <w:pStyle w:val="Heading1"/>
        <w:keepNext/>
        <w:keepLines/>
      </w:pPr>
      <w:r>
        <w:t>Appendix C. Illustrative Committee Dashboard</w:t>
      </w:r>
    </w:p>
    <w:tbl>
      <w:tblPr>
        <w:tblW w:type="dxa" w:w="9360"/>
        <w:jc w:val="left"/>
        <w:tblLayout w:type="fixed"/>
        <w:tblLook w:firstColumn="1" w:firstRow="1" w:lastColumn="0" w:lastRow="0" w:noHBand="0" w:noVBand="1" w:val="04A0"/>
        <w:tblInd w:type="dxa" w:w="120"/>
      </w:tblPr>
      <w:tblGrid>
        <w:gridCol w:w="3000"/>
        <w:gridCol w:w="6360"/>
      </w:tblGrid>
      <w:tr>
        <w:trPr>
          <w:trHeight w:hRule="auto"/>
          <w:cantSplit w:val="true"/>
          <w:tblHeader w:val="true"/>
        </w:trPr>
        <w:tc>
          <w:tcPr>
            <w:tcW w:type="dxa" w:w="300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Field</w:t>
            </w:r>
          </w:p>
        </w:tc>
        <w:tc>
          <w:tcPr>
            <w:tcW w:type="dxa" w:w="6360"/>
            <w:vAlign w:val="center"/>
            <w:shd w:fill="F4F6F9"/>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4" w:lineRule="auto"/>
              <w:jc w:val="left"/>
              <w:keepLines/>
            </w:pPr>
            <w:r>
              <w:rPr>
                <w:rFonts w:ascii="Calibri" w:hAnsi="Calibri"/>
                <w:b/>
                <w:color w:val="0B2545"/>
                <w:sz w:val="18"/>
              </w:rPr>
              <w:t>Illustrative value</w:t>
            </w:r>
          </w:p>
        </w:tc>
      </w:tr>
      <w:tr>
        <w:trPr>
          <w:cantSplit w:val="true"/>
          <w:trHeight w:hRule="auto"/>
        </w:trPr>
        <w:tc>
          <w:tcPr>
            <w:tcW w:type="dxa" w:w="30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Record</w:t>
            </w:r>
          </w:p>
        </w:tc>
        <w:tc>
          <w:tcPr>
            <w:tcW w:type="dxa" w:w="63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11–1</w:t>
            </w:r>
          </w:p>
        </w:tc>
      </w:tr>
      <w:tr>
        <w:trPr>
          <w:cantSplit w:val="true"/>
          <w:trHeight w:hRule="auto"/>
        </w:trPr>
        <w:tc>
          <w:tcPr>
            <w:tcW w:type="dxa" w:w="30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CFP ranking</w:t>
            </w:r>
          </w:p>
        </w:tc>
        <w:tc>
          <w:tcPr>
            <w:tcW w:type="dxa" w:w="63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No. 3</w:t>
            </w:r>
          </w:p>
        </w:tc>
      </w:tr>
      <w:tr>
        <w:trPr>
          <w:cantSplit w:val="true"/>
          <w:trHeight w:hRule="auto"/>
        </w:trPr>
        <w:tc>
          <w:tcPr>
            <w:tcW w:type="dxa" w:w="30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National Résumé Rating</w:t>
            </w:r>
          </w:p>
        </w:tc>
        <w:tc>
          <w:tcPr>
            <w:tcW w:type="dxa" w:w="63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No. 2</w:t>
            </w:r>
          </w:p>
        </w:tc>
      </w:tr>
      <w:tr>
        <w:trPr>
          <w:cantSplit w:val="true"/>
          <w:trHeight w:hRule="auto"/>
        </w:trPr>
        <w:tc>
          <w:tcPr>
            <w:tcW w:type="dxa" w:w="30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Team Strength Rating</w:t>
            </w:r>
          </w:p>
        </w:tc>
        <w:tc>
          <w:tcPr>
            <w:tcW w:type="dxa" w:w="63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No. 4</w:t>
            </w:r>
          </w:p>
        </w:tc>
      </w:tr>
      <w:tr>
        <w:trPr>
          <w:cantSplit w:val="true"/>
          <w:trHeight w:hRule="auto"/>
        </w:trPr>
        <w:tc>
          <w:tcPr>
            <w:tcW w:type="dxa" w:w="30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Strength of schedule / record</w:t>
            </w:r>
          </w:p>
        </w:tc>
        <w:tc>
          <w:tcPr>
            <w:tcW w:type="dxa" w:w="63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No. 6 / No. 2</w:t>
            </w:r>
          </w:p>
        </w:tc>
      </w:tr>
      <w:tr>
        <w:trPr>
          <w:cantSplit w:val="true"/>
          <w:trHeight w:hRule="auto"/>
        </w:trPr>
        <w:tc>
          <w:tcPr>
            <w:tcW w:type="dxa" w:w="30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Q1 / Q2</w:t>
            </w:r>
          </w:p>
        </w:tc>
        <w:tc>
          <w:tcPr>
            <w:tcW w:type="dxa" w:w="63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4–1 / 3–0</w:t>
            </w:r>
          </w:p>
        </w:tc>
      </w:tr>
      <w:tr>
        <w:trPr>
          <w:cantSplit w:val="true"/>
          <w:trHeight w:hRule="auto"/>
        </w:trPr>
        <w:tc>
          <w:tcPr>
            <w:tcW w:type="dxa" w:w="30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Road record</w:t>
            </w:r>
          </w:p>
        </w:tc>
        <w:tc>
          <w:tcPr>
            <w:tcW w:type="dxa" w:w="63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4–1</w:t>
            </w:r>
          </w:p>
        </w:tc>
      </w:tr>
      <w:tr>
        <w:trPr>
          <w:cantSplit w:val="true"/>
          <w:trHeight w:hRule="auto"/>
        </w:trPr>
        <w:tc>
          <w:tcPr>
            <w:tcW w:type="dxa" w:w="30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Best current win</w:t>
            </w:r>
          </w:p>
        </w:tc>
        <w:tc>
          <w:tcPr>
            <w:tcW w:type="dxa" w:w="63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Road win over current NRR No. 5</w:t>
            </w:r>
          </w:p>
        </w:tc>
      </w:tr>
      <w:tr>
        <w:trPr>
          <w:cantSplit w:val="true"/>
          <w:trHeight w:hRule="auto"/>
        </w:trPr>
        <w:tc>
          <w:tcPr>
            <w:tcW w:type="dxa" w:w="30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Loss</w:t>
            </w:r>
          </w:p>
        </w:tc>
        <w:tc>
          <w:tcPr>
            <w:tcW w:type="dxa" w:w="63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Road loss to current NRR No. 2</w:t>
            </w:r>
          </w:p>
        </w:tc>
      </w:tr>
      <w:tr>
        <w:trPr>
          <w:cantSplit w:val="true"/>
          <w:trHeight w:hRule="auto"/>
        </w:trPr>
        <w:tc>
          <w:tcPr>
            <w:tcW w:type="dxa" w:w="300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Committee deviation note</w:t>
            </w:r>
          </w:p>
        </w:tc>
        <w:tc>
          <w:tcPr>
            <w:tcW w:type="dxa" w:w="6360"/>
            <w:vAlign w:val="center"/>
            <w:tcBorders>
              <w:top w:val="single" w:sz="6" w:space="0" w:color="C8D0D9"/>
              <w:left w:val="single" w:sz="6" w:space="0" w:color="C8D0D9"/>
              <w:bottom w:val="single" w:sz="6" w:space="0" w:color="C8D0D9"/>
              <w:right w:val="single" w:sz="6" w:space="0" w:color="C8D0D9"/>
              <w:insideH w:val="single" w:sz="6" w:space="0" w:color="C8D0D9"/>
              <w:insideV w:val="single" w:sz="6" w:space="0" w:color="C8D0D9"/>
            </w:tcBorders>
            <w:tcMar>
              <w:top w:w="80" w:type="dxa"/>
              <w:bottom w:w="80" w:type="dxa"/>
              <w:start w:w="120" w:type="dxa"/>
              <w:end w:w="120" w:type="dxa"/>
            </w:tcMar>
          </w:tcPr>
          <w:p>
            <w:pPr>
              <w:spacing w:before="0" w:after="0" w:line="269" w:lineRule="auto"/>
              <w:jc w:val="left"/>
              <w:keepLines/>
            </w:pPr>
            <w:r>
              <w:rPr>
                <w:rFonts w:ascii="Calibri" w:hAnsi="Calibri"/>
                <w:sz w:val="18"/>
              </w:rPr>
              <w:t>Required if final placement is more than three positions outside the published objective range</w:t>
            </w:r>
          </w:p>
        </w:tc>
      </w:tr>
    </w:tbl>
    <w:p>
      <w:pPr>
        <w:spacing w:before="0" w:after="40"/>
      </w:pPr>
    </w:p>
    <w:p>
      <w:pPr>
        <w:pStyle w:val="Heading1"/>
        <w:keepNext/>
        <w:keepLines/>
      </w:pPr>
      <w:r>
        <w:t>Appendix D. Current-State Sources</w:t>
      </w:r>
    </w:p>
    <w:p>
      <w:pPr>
        <w:spacing w:before="0"/>
      </w:pPr>
      <w:r>
        <w:rPr>
          <w:rFonts w:ascii="Calibri" w:hAnsi="Calibri"/>
          <w:b w:val="0"/>
          <w:i/>
        </w:rPr>
        <w:t>The proposal itself is normative. The sources below support the limited current-system facts used to establish the August 2026 baseline. Accessed August 12, 2026.</w:t>
      </w:r>
    </w:p>
    <w:p>
      <w:pPr>
        <w:numPr>
          <w:ilvl w:val="0"/>
          <w:numId w:val="13"/>
        </w:numPr>
        <w:spacing w:after="80" w:line="290" w:lineRule="auto"/>
        <w:ind w:left="540" w:hanging="279"/>
        <w:keepLines/>
      </w:pPr>
      <w:hyperlink r:id="rId11">
        <w:r>
          <w:rPr>
            <w:rFonts w:ascii="Calibri" w:hAnsi="Calibri"/>
            <w:color w:val="2E74B5"/>
            <w:u w:val="single"/>
            <w:sz w:val="20"/>
          </w:rPr>
          <w:t>College Football Playoff, “About the 12-Team College Football Playoff Format.”</w:t>
        </w:r>
      </w:hyperlink>
    </w:p>
    <w:p>
      <w:pPr>
        <w:numPr>
          <w:ilvl w:val="0"/>
          <w:numId w:val="13"/>
        </w:numPr>
        <w:spacing w:after="80" w:line="290" w:lineRule="auto"/>
        <w:ind w:left="540" w:hanging="279"/>
        <w:keepLines/>
      </w:pPr>
      <w:hyperlink r:id="rId12">
        <w:r>
          <w:rPr>
            <w:rFonts w:ascii="Calibri" w:hAnsi="Calibri"/>
            <w:color w:val="2E74B5"/>
            <w:u w:val="single"/>
            <w:sz w:val="20"/>
          </w:rPr>
          <w:t>College Football Playoff, “CFP Selection Committee Protocol and Voting Process.”</w:t>
        </w:r>
      </w:hyperlink>
    </w:p>
    <w:p>
      <w:pPr>
        <w:numPr>
          <w:ilvl w:val="0"/>
          <w:numId w:val="13"/>
        </w:numPr>
        <w:spacing w:after="80" w:line="290" w:lineRule="auto"/>
        <w:ind w:left="540" w:hanging="279"/>
        <w:keepLines/>
      </w:pPr>
      <w:hyperlink r:id="rId13">
        <w:r>
          <w:rPr>
            <w:rFonts w:ascii="Calibri" w:hAnsi="Calibri"/>
            <w:color w:val="2E74B5"/>
            <w:u w:val="single"/>
            <w:sz w:val="20"/>
          </w:rPr>
          <w:t>College Football Playoff, “College Football Playoff Chronology.”</w:t>
        </w:r>
      </w:hyperlink>
    </w:p>
    <w:p>
      <w:pPr>
        <w:numPr>
          <w:ilvl w:val="0"/>
          <w:numId w:val="13"/>
        </w:numPr>
        <w:spacing w:after="80" w:line="290" w:lineRule="auto"/>
        <w:ind w:left="540" w:hanging="279"/>
        <w:keepLines/>
      </w:pPr>
      <w:hyperlink r:id="rId14">
        <w:r>
          <w:rPr>
            <w:rFonts w:ascii="Calibri" w:hAnsi="Calibri"/>
            <w:color w:val="2E74B5"/>
            <w:u w:val="single"/>
            <w:sz w:val="20"/>
          </w:rPr>
          <w:t>College Football Playoff, “CFP Revenue Distribution.”</w:t>
        </w:r>
      </w:hyperlink>
    </w:p>
    <w:p>
      <w:pPr>
        <w:numPr>
          <w:ilvl w:val="0"/>
          <w:numId w:val="13"/>
        </w:numPr>
        <w:spacing w:after="80" w:line="290" w:lineRule="auto"/>
        <w:ind w:left="540" w:hanging="279"/>
        <w:keepLines/>
      </w:pPr>
      <w:hyperlink r:id="rId15">
        <w:r>
          <w:rPr>
            <w:rFonts w:ascii="Calibri" w:hAnsi="Calibri"/>
            <w:color w:val="2E74B5"/>
            <w:u w:val="single"/>
            <w:sz w:val="20"/>
          </w:rPr>
          <w:t>NCAA, Division I Proposal 2025-28, adopted final: football transfer window and FBS recruiting calendar.</w:t>
        </w:r>
      </w:hyperlink>
    </w:p>
    <w:p>
      <w:pPr>
        <w:numPr>
          <w:ilvl w:val="0"/>
          <w:numId w:val="13"/>
        </w:numPr>
        <w:spacing w:after="80" w:line="290" w:lineRule="auto"/>
        <w:ind w:left="540" w:hanging="279"/>
        <w:keepLines/>
      </w:pPr>
      <w:hyperlink r:id="rId16">
        <w:r>
          <w:rPr>
            <w:rFonts w:ascii="Calibri" w:hAnsi="Calibri"/>
            <w:color w:val="2E74B5"/>
            <w:u w:val="single"/>
            <w:sz w:val="20"/>
          </w:rPr>
          <w:t>NCAA, “NCAA Membership Composition and Sport Sponsorship.”</w:t>
        </w:r>
      </w:hyperlink>
    </w:p>
    <w:p>
      <w:pPr>
        <w:numPr>
          <w:ilvl w:val="0"/>
          <w:numId w:val="13"/>
        </w:numPr>
        <w:spacing w:after="80" w:line="290" w:lineRule="auto"/>
        <w:ind w:left="540" w:hanging="279"/>
        <w:keepLines/>
      </w:pPr>
      <w:hyperlink r:id="rId17">
        <w:r>
          <w:rPr>
            <w:rFonts w:ascii="Calibri" w:hAnsi="Calibri"/>
            <w:color w:val="2E74B5"/>
            <w:u w:val="single"/>
            <w:sz w:val="20"/>
          </w:rPr>
          <w:t>NCAA, Division I Cabinet update adopting a standardized 14-week FBS regular-season window beginning in fall 2027.</w:t>
        </w:r>
      </w:hyperlink>
    </w:p>
    <w:p>
      <w:pPr>
        <w:numPr>
          <w:ilvl w:val="0"/>
          <w:numId w:val="13"/>
        </w:numPr>
        <w:spacing w:after="80" w:line="290" w:lineRule="auto"/>
        <w:ind w:left="540" w:hanging="279"/>
        <w:keepLines/>
      </w:pPr>
      <w:hyperlink r:id="rId18">
        <w:r>
          <w:rPr>
            <w:rFonts w:ascii="Calibri" w:hAnsi="Calibri"/>
            <w:color w:val="2E74B5"/>
            <w:u w:val="single"/>
            <w:sz w:val="20"/>
          </w:rPr>
          <w:t>NCAA, “Division I Football,” describing the Football Bowl Subdivision Oversight Committee’s governance role.</w:t>
        </w:r>
      </w:hyperlink>
    </w:p>
    <w:p>
      <w:pPr>
        <w:numPr>
          <w:ilvl w:val="0"/>
          <w:numId w:val="13"/>
        </w:numPr>
        <w:spacing w:after="80" w:line="290" w:lineRule="auto"/>
        <w:ind w:left="540" w:hanging="279"/>
        <w:keepLines/>
      </w:pPr>
      <w:hyperlink r:id="rId19">
        <w:r>
          <w:rPr>
            <w:rFonts w:ascii="Calibri" w:hAnsi="Calibri"/>
            <w:color w:val="2E74B5"/>
            <w:u w:val="single"/>
            <w:sz w:val="20"/>
          </w:rPr>
          <w:t>NCAA, “Division I Legislation and Policy,” outlining Division I legislative pathways.</w:t>
        </w:r>
      </w:hyperlink>
    </w:p>
    <w:p>
      <w:pPr>
        <w:numPr>
          <w:ilvl w:val="0"/>
          <w:numId w:val="13"/>
        </w:numPr>
        <w:spacing w:after="80" w:line="290" w:lineRule="auto"/>
        <w:ind w:left="540" w:hanging="279"/>
        <w:keepLines/>
      </w:pPr>
      <w:hyperlink r:id="rId20">
        <w:r>
          <w:rPr>
            <w:rFonts w:ascii="Calibri" w:hAnsi="Calibri"/>
            <w:color w:val="2E74B5"/>
            <w:u w:val="single"/>
            <w:sz w:val="20"/>
          </w:rPr>
          <w:t>College Football Playoff, “Governance,” describing the Board of Managers and Management Committee.</w:t>
        </w:r>
      </w:hyperlink>
    </w:p>
    <w:p>
      <w:pPr>
        <w:numPr>
          <w:ilvl w:val="0"/>
          <w:numId w:val="13"/>
        </w:numPr>
        <w:spacing w:after="80" w:line="290" w:lineRule="auto"/>
        <w:ind w:left="540" w:hanging="279"/>
        <w:keepLines/>
      </w:pPr>
      <w:hyperlink r:id="rId21">
        <w:r>
          <w:rPr>
            <w:rFonts w:ascii="Calibri" w:hAnsi="Calibri"/>
            <w:color w:val="2E74B5"/>
            <w:u w:val="single"/>
            <w:sz w:val="20"/>
          </w:rPr>
          <w:t>College Football Playoff, “Las Vegas to Host 2027 College Football Playoff National Championship.”</w:t>
        </w:r>
      </w:hyperlink>
    </w:p>
    <w:p>
      <w:pPr>
        <w:numPr>
          <w:ilvl w:val="0"/>
          <w:numId w:val="13"/>
        </w:numPr>
        <w:spacing w:after="80" w:line="290" w:lineRule="auto"/>
        <w:ind w:left="540" w:hanging="279"/>
        <w:keepLines/>
      </w:pPr>
      <w:hyperlink r:id="rId22">
        <w:r>
          <w:rPr>
            <w:rFonts w:ascii="Calibri" w:hAnsi="Calibri"/>
            <w:color w:val="2E74B5"/>
            <w:u w:val="single"/>
            <w:sz w:val="20"/>
          </w:rPr>
          <w:t>NFL Football Operations, “2026 Important NFL Dates.”</w:t>
        </w:r>
      </w:hyperlink>
    </w:p>
    <w:p>
      <w:pPr>
        <w:numPr>
          <w:ilvl w:val="0"/>
          <w:numId w:val="13"/>
        </w:numPr>
        <w:spacing w:after="80" w:line="290" w:lineRule="auto"/>
        <w:ind w:left="540" w:hanging="279"/>
        <w:keepLines/>
      </w:pPr>
      <w:hyperlink r:id="rId23">
        <w:r>
          <w:rPr>
            <w:rFonts w:ascii="Calibri" w:hAnsi="Calibri"/>
            <w:color w:val="2E74B5"/>
            <w:u w:val="single"/>
            <w:sz w:val="20"/>
          </w:rPr>
          <w:t>NFL Football Operations, “NFL Important Dates,” including the January 2027 Wild Card schedule.</w:t>
        </w:r>
      </w:hyperlink>
    </w:p>
    <w:p>
      <w:pPr>
        <w:numPr>
          <w:ilvl w:val="0"/>
          <w:numId w:val="13"/>
        </w:numPr>
        <w:spacing w:after="80" w:line="290" w:lineRule="auto"/>
        <w:ind w:left="540" w:hanging="279"/>
        <w:keepLines/>
      </w:pPr>
      <w:hyperlink r:id="rId24">
        <w:r>
          <w:rPr>
            <w:rFonts w:ascii="Calibri" w:hAnsi="Calibri"/>
            <w:color w:val="2E74B5"/>
            <w:u w:val="single"/>
            <w:sz w:val="20"/>
          </w:rPr>
          <w:t>NCAA, “Division I Cabinet adopts changes to eligibility rules for prospects.”</w:t>
        </w:r>
      </w:hyperlink>
    </w:p>
    <w:p>
      <w:pPr>
        <w:numPr>
          <w:ilvl w:val="0"/>
          <w:numId w:val="13"/>
        </w:numPr>
        <w:spacing w:after="80" w:line="290" w:lineRule="auto"/>
        <w:ind w:left="540" w:hanging="279"/>
        <w:keepLines/>
      </w:pPr>
      <w:hyperlink r:id="rId25">
        <w:r>
          <w:rPr>
            <w:rFonts w:ascii="Calibri" w:hAnsi="Calibri"/>
            <w:color w:val="2E74B5"/>
            <w:u w:val="single"/>
            <w:sz w:val="20"/>
          </w:rPr>
          <w:t>NCAA, “Agent Certification,” describing the Division I agent-certification program.</w:t>
        </w:r>
      </w:hyperlink>
    </w:p>
    <w:p>
      <w:pPr>
        <w:numPr>
          <w:ilvl w:val="0"/>
          <w:numId w:val="13"/>
        </w:numPr>
        <w:spacing w:after="80" w:line="290" w:lineRule="auto"/>
        <w:ind w:left="540" w:hanging="279"/>
        <w:keepLines/>
      </w:pPr>
      <w:hyperlink r:id="rId26">
        <w:r>
          <w:rPr>
            <w:rFonts w:ascii="Calibri" w:hAnsi="Calibri"/>
            <w:color w:val="2E74B5"/>
            <w:u w:val="single"/>
            <w:sz w:val="20"/>
          </w:rPr>
          <w:t>NCAA Enforcement, 2026 NFL education memorandum.</w:t>
        </w:r>
      </w:hyperlink>
    </w:p>
    <w:p>
      <w:pPr>
        <w:spacing w:before="280" w:after="0"/>
      </w:pPr>
      <w:r>
        <w:rPr>
          <w:rFonts w:ascii="Calibri" w:hAnsi="Calibri"/>
          <w:b w:val="0"/>
          <w:i/>
          <w:color w:val="5D6672"/>
          <w:sz w:val="18"/>
        </w:rPr>
        <w:t>The terms “National Tournament” and “College Football Challenge” are functional labels for policy development. Final names, marks, and commercial identities should be established through legal, branding, and stakeholder review.</w:t>
      </w:r>
    </w:p>
    <w:sectPr w:rsidR="00FC693F" w:rsidRPr="0006063C" w:rsidSect="00034616">
      <w:headerReference w:type="default" r:id="rId9"/>
      <w:footerReference w:type="default" r:id="rId10"/>
      <w:pgSz w:w="12240" w:h="15840"/>
      <w:pgMar w:top="1440" w:right="1440" w:bottom="2160" w:left="1440" w:header="708" w:footer="36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pPr>
    <w:r>
      <w:rPr>
        <w:rFonts w:ascii="Calibri" w:hAnsi="Calibri"/>
        <w:b/>
        <w:color w:val="5D6672"/>
        <w:sz w:val="18"/>
      </w:rPr>
      <w:t>INTEGRATED FBS REFORM</w:t>
    </w:r>
    <w:r>
      <w:tab/>
    </w:r>
    <w:r>
      <w:rPr>
        <w:rFonts w:ascii="Calibri" w:hAnsi="Calibri"/>
        <w:color w:val="5D6672"/>
        <w:sz w:val="18"/>
      </w:rPr>
      <w:t xml:space="preserve">COMPETITION AND POSTSEASON PROPOSAL · Page </w:t>
    </w:r>
    <w:r>
      <w:rPr>
        <w:rFonts w:ascii="Calibri" w:hAnsi="Calibri"/>
        <w:color w:val="5D6672"/>
        <w:sz w:val="18"/>
      </w:rPr>
      <w:fldChar w:fldCharType="begin"/>
      <w:instrText xml:space="preserve"> PAGE </w:instrText>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lvlJc w:val="left"/>
      <w:pPr>
        <w:tabs>
          <w:tab w:val="num" w:pos="540"/>
        </w:tabs>
        <w:ind w:left="540" w:hanging="279"/>
        <w:spacing w:after="80" w:line="290" w:lineRule="auto"/>
      </w:pPr>
      <w:rPr>
        <w:rFonts w:ascii="Calibri" w:hAnsi="Calibri"/>
      </w:rPr>
    </w:lvl>
  </w:abstractNum>
  <w:num w:numId="10">
    <w:abstractNumId w:val="9"/>
  </w:num>
  <w:abstractNum w:abstractNumId="10">
    <w:multiLevelType w:val="singleLevel"/>
    <w:lvl w:ilvl="0">
      <w:start w:val="1"/>
      <w:numFmt w:val="decimal"/>
      <w:lvlText w:val="%1."/>
      <w:suff w:val="tab"/>
      <w:lvlJc w:val="left"/>
      <w:pPr>
        <w:tabs>
          <w:tab w:val="num" w:pos="540"/>
        </w:tabs>
        <w:ind w:left="540" w:hanging="279"/>
        <w:spacing w:after="80" w:line="290" w:lineRule="auto"/>
      </w:pPr>
      <w:rPr>
        <w:rFonts w:ascii="Calibri" w:hAnsi="Calibri"/>
      </w:rPr>
    </w:lvl>
  </w:abstractNum>
  <w:num w:numId="11">
    <w:abstractNumId w:val="10"/>
  </w:num>
  <w:abstractNum w:abstractNumId="11">
    <w:multiLevelType w:val="singleLevel"/>
    <w:lvl w:ilvl="0">
      <w:start w:val="1"/>
      <w:numFmt w:val="decimal"/>
      <w:lvlText w:val="%1."/>
      <w:suff w:val="tab"/>
      <w:lvlJc w:val="left"/>
      <w:pPr>
        <w:tabs>
          <w:tab w:val="num" w:pos="540"/>
        </w:tabs>
        <w:ind w:left="540" w:hanging="279"/>
        <w:spacing w:after="80" w:line="290" w:lineRule="auto"/>
      </w:pPr>
      <w:rPr>
        <w:rFonts w:ascii="Calibri" w:hAnsi="Calibri"/>
      </w:rPr>
    </w:lvl>
  </w:abstractNum>
  <w:num w:numId="12">
    <w:abstractNumId w:val="11"/>
  </w:num>
  <w:abstractNum w:abstractNumId="12">
    <w:multiLevelType w:val="singleLevel"/>
    <w:lvl w:ilvl="0">
      <w:start w:val="1"/>
      <w:numFmt w:val="decimal"/>
      <w:lvlText w:val="%1."/>
      <w:suff w:val="tab"/>
      <w:lvlJc w:val="left"/>
      <w:pPr>
        <w:tabs>
          <w:tab w:val="num" w:pos="540"/>
        </w:tabs>
        <w:ind w:left="540" w:hanging="279"/>
        <w:spacing w:after="80" w:line="290" w:lineRule="auto"/>
      </w:pPr>
      <w:rPr>
        <w:rFonts w:ascii="Calibri" w:hAnsi="Calibri"/>
      </w:rPr>
    </w:lvl>
  </w:abstract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Lines/>
      <w:widowControl/>
      <w:spacing w:before="0" w:after="160" w:line="320" w:lineRule="auto"/>
      <w:jc w:val="both"/>
    </w:pPr>
    <w:rPr>
      <w:rFonts w:ascii="Calibri" w:hAnsi="Calibri"/>
      <w:color w:val="20252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val="0"/>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pageBreakBefore w:val="0"/>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pageBreakBefore w:val="0"/>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roposalLead">
    <w:name w:val="Proposal Lead"/>
    <w:pPr>
      <w:spacing w:before="0" w:after="240" w:line="300" w:lineRule="auto"/>
      <w:jc w:val="left"/>
    </w:pPr>
    <w:rPr>
      <w:rFonts w:ascii="Calibri" w:hAnsi="Calibri"/>
      <w:b w:val="0"/>
      <w:color w:val="0B2545"/>
      <w:sz w:val="26"/>
    </w:rPr>
  </w:style>
  <w:style w:type="paragraph" w:customStyle="1" w:styleId="TableCitation">
    <w:name w:val="Table Citation"/>
    <w:pPr>
      <w:spacing w:before="80" w:after="80" w:line="240" w:lineRule="auto"/>
    </w:pPr>
    <w:rPr>
      <w:rFonts w:ascii="Calibri" w:hAnsi="Calibri"/>
      <w:color w:val="5D6672"/>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collegefootballplayoff.com/sports/2024/5/29/12-team-format.aspx" TargetMode="External"/><Relationship Id="rId12" Type="http://schemas.openxmlformats.org/officeDocument/2006/relationships/hyperlink" Target="https://collegefootballplayoff.com/sports/2016/10/24/selection-committee-protocol" TargetMode="External"/><Relationship Id="rId13" Type="http://schemas.openxmlformats.org/officeDocument/2006/relationships/hyperlink" Target="https://collegefootballplayoff.com/sports/2019/5/8/chronology" TargetMode="External"/><Relationship Id="rId14" Type="http://schemas.openxmlformats.org/officeDocument/2006/relationships/hyperlink" Target="https://collegefootballplayoff.com/sports/2017/9/20/revenue-distribution.aspx" TargetMode="External"/><Relationship Id="rId15" Type="http://schemas.openxmlformats.org/officeDocument/2006/relationships/hyperlink" Target="https://web3.ncaa.org/lsdbi/search/proposalView?id=108963" TargetMode="External"/><Relationship Id="rId16" Type="http://schemas.openxmlformats.org/officeDocument/2006/relationships/hyperlink" Target="https://www.ncaa.org/about-us/membership-directory/membership-composition-and-sport-sponsorship/" TargetMode="External"/><Relationship Id="rId17" Type="http://schemas.openxmlformats.org/officeDocument/2006/relationships/hyperlink" Target="https://www.ncaa.org/di-cabinet-remands-two-semester-mens-soccer-proposal-to-oversight-committee-for-further-review/" TargetMode="External"/><Relationship Id="rId18" Type="http://schemas.openxmlformats.org/officeDocument/2006/relationships/hyperlink" Target="https://www.ncaa.org/championship/division-i/football/" TargetMode="External"/><Relationship Id="rId19" Type="http://schemas.openxmlformats.org/officeDocument/2006/relationships/hyperlink" Target="https://www.ncaa.org/division-i/governance/legislation-and-policy/" TargetMode="External"/><Relationship Id="rId20" Type="http://schemas.openxmlformats.org/officeDocument/2006/relationships/hyperlink" Target="https://collegefootballplayoff.com/sports/2019/4/3/governance.aspx" TargetMode="External"/><Relationship Id="rId21" Type="http://schemas.openxmlformats.org/officeDocument/2006/relationships/hyperlink" Target="https://collegefootballplayoff.com/news/2025/1/24/vegas-27.aspx" TargetMode="External"/><Relationship Id="rId22" Type="http://schemas.openxmlformats.org/officeDocument/2006/relationships/hyperlink" Target="https://operations.nfl.com/gameday/nfl-schedule/2026-important-nfl-dates/" TargetMode="External"/><Relationship Id="rId23" Type="http://schemas.openxmlformats.org/officeDocument/2006/relationships/hyperlink" Target="https://operations.nfl.com/calendar-events/nfl-important-dates" TargetMode="External"/><Relationship Id="rId24" Type="http://schemas.openxmlformats.org/officeDocument/2006/relationships/hyperlink" Target="https://www.ncaa.org/media-center-di-cabinet-adopts-changes-to-eligibility-rules-for-prospects/" TargetMode="External"/><Relationship Id="rId25" Type="http://schemas.openxmlformats.org/officeDocument/2006/relationships/hyperlink" Target="https://www.ncaa.org/division-i/governance/membership-and-institutional-resources/agent-certification/" TargetMode="External"/><Relationship Id="rId26" Type="http://schemas.openxmlformats.org/officeDocument/2006/relationships/hyperlink" Target="https://ncaaorg.s3.amazonaws.com/enforcement/2026ENF_NFLEducationMemo.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FBS Competition Reform Proposal</dc:title>
  <dc:subject>Integrated FBS competition, calendar, ranking, roster, and postseason reform</dc:subject>
  <dc:creator>Alec Levine</dc:creator>
  <cp:keywords>college football, CFP, playoff expansion, FBS, calendar reform, rankings</cp:keywords>
  <dc:description>Reviewed against the Better College Football website on August 29, 2026. The website is the current primary version; this file is an offline backup reference.</dc:description>
  <cp:lastModifiedBy>Alec Levine</cp:lastModifiedBy>
  <cp:revision>20260829</cp:revision>
  <dcterms:created xsi:type="dcterms:W3CDTF">2013-12-23T23:15:00Z</dcterms:created>
  <dcterms:modified xsi:type="dcterms:W3CDTF">2026-08-29T12:00:00Z</dcterms:modified>
  <cp:category/>
</cp:coreProperties>
</file>